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68A" w:rsidRDefault="005C510F">
      <w:r>
        <w:t>AOP 220 – General Conclusions and Recommendation</w:t>
      </w:r>
    </w:p>
    <w:p w:rsidR="005C510F" w:rsidRDefault="005C510F"/>
    <w:p w:rsidR="005C510F" w:rsidRDefault="005C510F">
      <w:r>
        <w:t xml:space="preserve">Based on the three reviews received as part of the EAGMST internal review process, there appeared to be consensus that this was generally a </w:t>
      </w:r>
      <w:proofErr w:type="spellStart"/>
      <w:r>
        <w:t>well developed</w:t>
      </w:r>
      <w:proofErr w:type="spellEnd"/>
      <w:r>
        <w:t xml:space="preserve"> AOP description that conformed quite well with the guidance available at the time it was written.</w:t>
      </w:r>
      <w:r w:rsidR="000B0193">
        <w:t xml:space="preserve"> While detailed comments and suggestions differed among the three reviewers, there were four prominent themes the seemed to be common.</w:t>
      </w:r>
    </w:p>
    <w:p w:rsidR="000B0193" w:rsidRDefault="000B0193" w:rsidP="000B0193">
      <w:pPr>
        <w:pStyle w:val="ListParagraph"/>
        <w:numPr>
          <w:ilvl w:val="0"/>
          <w:numId w:val="1"/>
        </w:numPr>
      </w:pPr>
      <w:r>
        <w:t xml:space="preserve">All reviewers suggested that some clarification regarding what is meant by activation of cyp2e1 is needed. It wasn’t clear whether this referred to increased activity of the enzyme, increased abundance, stabilization of the protein, or something else.  The description of Event 1391 should be modified to make this </w:t>
      </w:r>
      <w:proofErr w:type="gramStart"/>
      <w:r>
        <w:t>more clear</w:t>
      </w:r>
      <w:proofErr w:type="gramEnd"/>
      <w:r>
        <w:t>.</w:t>
      </w:r>
    </w:p>
    <w:p w:rsidR="000B0193" w:rsidRDefault="000B0193" w:rsidP="000B0193">
      <w:pPr>
        <w:pStyle w:val="ListParagraph"/>
        <w:numPr>
          <w:ilvl w:val="0"/>
          <w:numId w:val="1"/>
        </w:numPr>
      </w:pPr>
      <w:r>
        <w:t>Although taxonomic applicability was addressed with regard to mammals, all three reviewers felt that the potential relevance to non-mammalian taxa should also be considered.  This would apply to the AOP as a whole, but also in the context of the taxonomic relevance sections of the individual KE and KER pages.</w:t>
      </w:r>
    </w:p>
    <w:p w:rsidR="000B0193" w:rsidRDefault="000B0193" w:rsidP="000B0193">
      <w:pPr>
        <w:pStyle w:val="ListParagraph"/>
        <w:numPr>
          <w:ilvl w:val="0"/>
          <w:numId w:val="1"/>
        </w:numPr>
      </w:pPr>
      <w:r>
        <w:t xml:space="preserve">All three reviewers shared the view that this AOP was likely to be highly connected to others sharing similar KEs within the broader AOP network.  The specific suggestions about how to enhance the linkages to other content in the Wiki were a bit different. Options suggested included: (1) breaking this AOP into an AOP network that includes a number of parallel key events that converge a final cancer outcome, (2) substituting the current event pages for synonymous ones already present in the AOP-Wiki that are connected to other AOPs, or (3) breaking some of the KE’s into multiple KEs that would correspond to others that already exist and are described in the AOP-Wiki. </w:t>
      </w:r>
      <w:r w:rsidR="00735D63">
        <w:t>Clearly there are different strategies that may be employed, but in general it is recommended that the authors look for ways to strengthen the ability to link this AOP into a broader network context.  A few papers that may be useful to aid thinking in that regard include:</w:t>
      </w:r>
    </w:p>
    <w:p w:rsidR="00735D63" w:rsidRDefault="00735D63" w:rsidP="00735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color w:val="000000"/>
        </w:rPr>
      </w:pPr>
      <w:r w:rsidRPr="00735D63">
        <w:rPr>
          <w:rFonts w:eastAsia="Times New Roman" w:cstheme="minorHAnsi"/>
          <w:color w:val="000000"/>
        </w:rPr>
        <w:t>Knapen D, Angrish MM, Fortin MC, Katsiadaki I, Leonard M, Margiotta-Casaluci</w:t>
      </w:r>
      <w:r w:rsidRPr="00735D63">
        <w:rPr>
          <w:rFonts w:eastAsia="Times New Roman" w:cstheme="minorHAnsi"/>
          <w:color w:val="000000"/>
        </w:rPr>
        <w:t xml:space="preserve"> </w:t>
      </w:r>
      <w:r w:rsidRPr="00735D63">
        <w:rPr>
          <w:rFonts w:eastAsia="Times New Roman" w:cstheme="minorHAnsi"/>
          <w:color w:val="000000"/>
        </w:rPr>
        <w:t>L, Munn S, O'Brien JM, Pollesch N, Smith LC, Zhang X, Villeneuve DL. Adverse</w:t>
      </w:r>
      <w:r w:rsidRPr="00735D63">
        <w:rPr>
          <w:rFonts w:eastAsia="Times New Roman" w:cstheme="minorHAnsi"/>
          <w:color w:val="000000"/>
        </w:rPr>
        <w:t xml:space="preserve"> </w:t>
      </w:r>
      <w:r w:rsidRPr="00735D63">
        <w:rPr>
          <w:rFonts w:eastAsia="Times New Roman" w:cstheme="minorHAnsi"/>
          <w:color w:val="000000"/>
        </w:rPr>
        <w:t>Outcome Pathway Networks I: Development and Applications. Environ Toxicol Chem.</w:t>
      </w:r>
      <w:r w:rsidRPr="00735D63">
        <w:rPr>
          <w:rFonts w:eastAsia="Times New Roman" w:cstheme="minorHAnsi"/>
          <w:color w:val="000000"/>
        </w:rPr>
        <w:t xml:space="preserve"> </w:t>
      </w:r>
      <w:r w:rsidRPr="00735D63">
        <w:rPr>
          <w:rFonts w:eastAsia="Times New Roman" w:cstheme="minorHAnsi"/>
          <w:color w:val="000000"/>
        </w:rPr>
        <w:t xml:space="preserve">2018 Feb 28. </w:t>
      </w:r>
      <w:proofErr w:type="spellStart"/>
      <w:r w:rsidRPr="00735D63">
        <w:rPr>
          <w:rFonts w:eastAsia="Times New Roman" w:cstheme="minorHAnsi"/>
          <w:color w:val="000000"/>
        </w:rPr>
        <w:t>doi</w:t>
      </w:r>
      <w:proofErr w:type="spellEnd"/>
      <w:r w:rsidRPr="00735D63">
        <w:rPr>
          <w:rFonts w:eastAsia="Times New Roman" w:cstheme="minorHAnsi"/>
          <w:color w:val="000000"/>
        </w:rPr>
        <w:t>: 10.1002/etc.4125</w:t>
      </w:r>
    </w:p>
    <w:p w:rsidR="00735D63" w:rsidRPr="00735D63" w:rsidRDefault="00735D63" w:rsidP="00735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color w:val="000000"/>
        </w:rPr>
      </w:pPr>
    </w:p>
    <w:p w:rsidR="00735D63" w:rsidRDefault="00735D63" w:rsidP="00735D63">
      <w:pPr>
        <w:pStyle w:val="ListParagraph"/>
        <w:ind w:left="1440"/>
        <w:rPr>
          <w:rFonts w:cstheme="minorHAnsi"/>
        </w:rPr>
      </w:pPr>
      <w:r w:rsidRPr="00735D63">
        <w:rPr>
          <w:rFonts w:cstheme="minorHAnsi"/>
          <w:color w:val="2A2A2A"/>
          <w:shd w:val="clear" w:color="auto" w:fill="FFFFFF"/>
        </w:rPr>
        <w:t xml:space="preserve">Daniel L Villeneuve, Brigitte Landesmann, Paola </w:t>
      </w:r>
      <w:proofErr w:type="spellStart"/>
      <w:r w:rsidRPr="00735D63">
        <w:rPr>
          <w:rFonts w:cstheme="minorHAnsi"/>
          <w:color w:val="2A2A2A"/>
          <w:shd w:val="clear" w:color="auto" w:fill="FFFFFF"/>
        </w:rPr>
        <w:t>Allavena</w:t>
      </w:r>
      <w:proofErr w:type="spellEnd"/>
      <w:r w:rsidRPr="00735D63">
        <w:rPr>
          <w:rFonts w:cstheme="minorHAnsi"/>
          <w:color w:val="2A2A2A"/>
          <w:shd w:val="clear" w:color="auto" w:fill="FFFFFF"/>
        </w:rPr>
        <w:t xml:space="preserve">, Noah Ashley, Anna Bal-Price, </w:t>
      </w:r>
      <w:proofErr w:type="spellStart"/>
      <w:r w:rsidRPr="00735D63">
        <w:rPr>
          <w:rFonts w:cstheme="minorHAnsi"/>
          <w:color w:val="2A2A2A"/>
          <w:shd w:val="clear" w:color="auto" w:fill="FFFFFF"/>
        </w:rPr>
        <w:t>Emanuela</w:t>
      </w:r>
      <w:proofErr w:type="spellEnd"/>
      <w:r w:rsidRPr="00735D63">
        <w:rPr>
          <w:rFonts w:cstheme="minorHAnsi"/>
          <w:color w:val="2A2A2A"/>
          <w:shd w:val="clear" w:color="auto" w:fill="FFFFFF"/>
        </w:rPr>
        <w:t xml:space="preserve"> </w:t>
      </w:r>
      <w:proofErr w:type="spellStart"/>
      <w:r w:rsidRPr="00735D63">
        <w:rPr>
          <w:rFonts w:cstheme="minorHAnsi"/>
          <w:color w:val="2A2A2A"/>
          <w:shd w:val="clear" w:color="auto" w:fill="FFFFFF"/>
        </w:rPr>
        <w:t>Corsini</w:t>
      </w:r>
      <w:proofErr w:type="spellEnd"/>
      <w:r w:rsidRPr="00735D63">
        <w:rPr>
          <w:rFonts w:cstheme="minorHAnsi"/>
          <w:color w:val="2A2A2A"/>
          <w:shd w:val="clear" w:color="auto" w:fill="FFFFFF"/>
        </w:rPr>
        <w:t xml:space="preserve">, Sabina Halappanavar, Tracy </w:t>
      </w:r>
      <w:proofErr w:type="spellStart"/>
      <w:r w:rsidRPr="00735D63">
        <w:rPr>
          <w:rFonts w:cstheme="minorHAnsi"/>
          <w:color w:val="2A2A2A"/>
          <w:shd w:val="clear" w:color="auto" w:fill="FFFFFF"/>
        </w:rPr>
        <w:t>Hussell</w:t>
      </w:r>
      <w:proofErr w:type="spellEnd"/>
      <w:r w:rsidRPr="00735D63">
        <w:rPr>
          <w:rFonts w:cstheme="minorHAnsi"/>
          <w:color w:val="2A2A2A"/>
          <w:shd w:val="clear" w:color="auto" w:fill="FFFFFF"/>
        </w:rPr>
        <w:t xml:space="preserve">, Debra </w:t>
      </w:r>
      <w:proofErr w:type="spellStart"/>
      <w:r w:rsidRPr="00735D63">
        <w:rPr>
          <w:rFonts w:cstheme="minorHAnsi"/>
          <w:color w:val="2A2A2A"/>
          <w:shd w:val="clear" w:color="auto" w:fill="FFFFFF"/>
        </w:rPr>
        <w:t>Laskin</w:t>
      </w:r>
      <w:proofErr w:type="spellEnd"/>
      <w:r w:rsidRPr="00735D63">
        <w:rPr>
          <w:rFonts w:cstheme="minorHAnsi"/>
          <w:color w:val="2A2A2A"/>
          <w:shd w:val="clear" w:color="auto" w:fill="FFFFFF"/>
        </w:rPr>
        <w:t xml:space="preserve">, Toby Lawrence, David Nikolic-Paterson, Marc </w:t>
      </w:r>
      <w:proofErr w:type="spellStart"/>
      <w:r w:rsidRPr="00735D63">
        <w:rPr>
          <w:rFonts w:cstheme="minorHAnsi"/>
          <w:color w:val="2A2A2A"/>
          <w:shd w:val="clear" w:color="auto" w:fill="FFFFFF"/>
        </w:rPr>
        <w:t>Pallardy</w:t>
      </w:r>
      <w:proofErr w:type="spellEnd"/>
      <w:r w:rsidRPr="00735D63">
        <w:rPr>
          <w:rFonts w:cstheme="minorHAnsi"/>
          <w:color w:val="2A2A2A"/>
          <w:shd w:val="clear" w:color="auto" w:fill="FFFFFF"/>
        </w:rPr>
        <w:t xml:space="preserve">, Alicia </w:t>
      </w:r>
      <w:proofErr w:type="spellStart"/>
      <w:r w:rsidRPr="00735D63">
        <w:rPr>
          <w:rFonts w:cstheme="minorHAnsi"/>
          <w:color w:val="2A2A2A"/>
          <w:shd w:val="clear" w:color="auto" w:fill="FFFFFF"/>
        </w:rPr>
        <w:t>Paini</w:t>
      </w:r>
      <w:proofErr w:type="spellEnd"/>
      <w:r w:rsidRPr="00735D63">
        <w:rPr>
          <w:rFonts w:cstheme="minorHAnsi"/>
          <w:color w:val="2A2A2A"/>
          <w:shd w:val="clear" w:color="auto" w:fill="FFFFFF"/>
        </w:rPr>
        <w:t>, Raymond Pieters, Robert Roth, Florianne Tschudi-Monnet; Representing the Process of Inflammation as Key Events in Adverse Outcome Pathways, </w:t>
      </w:r>
      <w:r w:rsidRPr="00735D63">
        <w:rPr>
          <w:rStyle w:val="Emphasis"/>
          <w:rFonts w:cstheme="minorHAnsi"/>
          <w:color w:val="2A2A2A"/>
          <w:bdr w:val="none" w:sz="0" w:space="0" w:color="auto" w:frame="1"/>
          <w:shd w:val="clear" w:color="auto" w:fill="FFFFFF"/>
        </w:rPr>
        <w:t>Toxicological Sciences</w:t>
      </w:r>
      <w:r w:rsidRPr="00735D63">
        <w:rPr>
          <w:rFonts w:cstheme="minorHAnsi"/>
          <w:color w:val="2A2A2A"/>
          <w:shd w:val="clear" w:color="auto" w:fill="FFFFFF"/>
        </w:rPr>
        <w:t>, kfy047, </w:t>
      </w:r>
      <w:hyperlink r:id="rId5" w:history="1">
        <w:r w:rsidRPr="00735D63">
          <w:rPr>
            <w:rStyle w:val="Hyperlink"/>
            <w:rFonts w:cstheme="minorHAnsi"/>
            <w:color w:val="006FB7"/>
            <w:u w:val="none"/>
            <w:bdr w:val="none" w:sz="0" w:space="0" w:color="auto" w:frame="1"/>
            <w:shd w:val="clear" w:color="auto" w:fill="FFFFFF"/>
          </w:rPr>
          <w:t>https://doi.org/10.1093/toxsci/kfy047</w:t>
        </w:r>
      </w:hyperlink>
    </w:p>
    <w:p w:rsidR="00735D63" w:rsidRDefault="00735D63" w:rsidP="00735D63">
      <w:pPr>
        <w:pStyle w:val="ListParagraph"/>
        <w:ind w:left="1440"/>
        <w:rPr>
          <w:rFonts w:cstheme="minorHAnsi"/>
        </w:rPr>
      </w:pPr>
    </w:p>
    <w:p w:rsidR="00735D63" w:rsidRDefault="00735D63" w:rsidP="00735D63">
      <w:pPr>
        <w:pStyle w:val="ListParagraph"/>
        <w:numPr>
          <w:ilvl w:val="0"/>
          <w:numId w:val="1"/>
        </w:numPr>
        <w:rPr>
          <w:rFonts w:cstheme="minorHAnsi"/>
        </w:rPr>
      </w:pPr>
      <w:r>
        <w:rPr>
          <w:rFonts w:cstheme="minorHAnsi"/>
        </w:rPr>
        <w:t>Finally, the reviewers suggested that some of the KEs may currently multiple measurements that might be better represented as separate KEs. Again, there were different views on how these might be split by the different reviewers, but particularly in light of a desire to increase connectivity to other AOPs in the overall network represented by the wiki, this could be considered.</w:t>
      </w:r>
    </w:p>
    <w:p w:rsidR="00735D63" w:rsidRDefault="00735D63" w:rsidP="00735D63">
      <w:r>
        <w:rPr>
          <w:rFonts w:cstheme="minorHAnsi"/>
        </w:rPr>
        <w:lastRenderedPageBreak/>
        <w:t xml:space="preserve">We also note that a new version of the AOP developer’s handbook was released in September 2017. </w:t>
      </w:r>
      <w:r w:rsidR="006C3A8E">
        <w:rPr>
          <w:rFonts w:cstheme="minorHAnsi"/>
        </w:rPr>
        <w:t>As revisions are being made, where practical, consider updating the content to conform with the newer version of the handbook (</w:t>
      </w:r>
      <w:hyperlink r:id="rId6" w:history="1">
        <w:r w:rsidR="006C3A8E" w:rsidRPr="00094DFC">
          <w:rPr>
            <w:rStyle w:val="Hyperlink"/>
            <w:rFonts w:ascii="Helvetica" w:hAnsi="Helvetica"/>
            <w:sz w:val="21"/>
            <w:szCs w:val="21"/>
            <w:shd w:val="clear" w:color="auto" w:fill="FFFFFF"/>
          </w:rPr>
          <w:t>https://one.oecd.org/document/ENV/JM/MONO(2016)12/en/pdf</w:t>
        </w:r>
        <w:r w:rsidR="006C3A8E" w:rsidRPr="00094DFC">
          <w:rPr>
            <w:rStyle w:val="Hyperlink"/>
          </w:rPr>
          <w:t>)</w:t>
        </w:r>
      </w:hyperlink>
      <w:r w:rsidR="006C3A8E">
        <w:t xml:space="preserve">.  In particular, please consider making greater used of the structured, ontology-based fields by selecting Key Event Component terms for each KE page, utilizing the structured fields to the extent possible to define taxonomic, life stage, and sex applicability, etc.  Some of the reasons for doing so are described in more detail in the new handbook and in the manuscript by Knapen et al. (2018). </w:t>
      </w:r>
    </w:p>
    <w:p w:rsidR="006C3A8E" w:rsidRDefault="006C3A8E" w:rsidP="00735D63"/>
    <w:p w:rsidR="006C3A8E" w:rsidRDefault="006C3A8E" w:rsidP="00735D63">
      <w:r>
        <w:t>Overall, thank you for an excellent contribution to the AOP-Wiki.  Based on our review of AOP 220, we expect that the AOP should be suitable for external review following minor revision to address these 4 general themes and with additional consideration of the reviewer’s suggestions at the authors discretion.</w:t>
      </w:r>
    </w:p>
    <w:p w:rsidR="00A1721F" w:rsidRPr="00735D63" w:rsidRDefault="00A1721F" w:rsidP="00735D63">
      <w:pPr>
        <w:rPr>
          <w:rFonts w:cstheme="minorHAnsi"/>
        </w:rPr>
      </w:pPr>
      <w:bookmarkStart w:id="0" w:name="_GoBack"/>
      <w:bookmarkEnd w:id="0"/>
    </w:p>
    <w:sectPr w:rsidR="00A1721F" w:rsidRPr="0073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98E"/>
    <w:multiLevelType w:val="hybridMultilevel"/>
    <w:tmpl w:val="FFDA05CC"/>
    <w:lvl w:ilvl="0" w:tplc="2CE6BF9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5B1F54"/>
    <w:multiLevelType w:val="hybridMultilevel"/>
    <w:tmpl w:val="331E53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0F"/>
    <w:rsid w:val="000B0193"/>
    <w:rsid w:val="0015068A"/>
    <w:rsid w:val="005C510F"/>
    <w:rsid w:val="006C3A8E"/>
    <w:rsid w:val="00735D63"/>
    <w:rsid w:val="00A1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21E2"/>
  <w15:chartTrackingRefBased/>
  <w15:docId w15:val="{5D768C7F-1527-44B3-B174-5C075458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193"/>
    <w:pPr>
      <w:ind w:left="720"/>
      <w:contextualSpacing/>
    </w:pPr>
  </w:style>
  <w:style w:type="character" w:styleId="Emphasis">
    <w:name w:val="Emphasis"/>
    <w:basedOn w:val="DefaultParagraphFont"/>
    <w:uiPriority w:val="20"/>
    <w:qFormat/>
    <w:rsid w:val="00735D63"/>
    <w:rPr>
      <w:i/>
      <w:iCs/>
    </w:rPr>
  </w:style>
  <w:style w:type="character" w:styleId="Hyperlink">
    <w:name w:val="Hyperlink"/>
    <w:basedOn w:val="DefaultParagraphFont"/>
    <w:uiPriority w:val="99"/>
    <w:unhideWhenUsed/>
    <w:rsid w:val="00735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2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oecd.org/document/ENV/JM/MONO(2016)12/en/pdf)" TargetMode="External"/><Relationship Id="rId5" Type="http://schemas.openxmlformats.org/officeDocument/2006/relationships/hyperlink" Target="https://doi.org/10.1093/toxsci/kfy0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Villeneuve, Dan</dc:creator>
  <cp:keywords/>
  <dc:description/>
  <cp:lastModifiedBy>Villeneuve, Dan</cp:lastModifiedBy>
  <cp:revision>3</cp:revision>
  <dcterms:created xsi:type="dcterms:W3CDTF">2018-04-25T21:35:00Z</dcterms:created>
  <dcterms:modified xsi:type="dcterms:W3CDTF">2018-04-25T22:06:00Z</dcterms:modified>
</cp:coreProperties>
</file>