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53466" w14:textId="77777777" w:rsidR="002440D5" w:rsidRDefault="002440D5" w:rsidP="002440D5">
      <w:pPr>
        <w:jc w:val="center"/>
        <w:rPr>
          <w:b/>
          <w:lang w:val="en-US"/>
        </w:rPr>
      </w:pPr>
      <w:r w:rsidRPr="004E2959">
        <w:rPr>
          <w:b/>
          <w:lang w:val="en-US"/>
        </w:rPr>
        <w:t>Request for endorsement by written procedure of four Adverse Outcome Pathways (AOPs) – sent to the WNT and WPHA with the deadline of 16 June 2021</w:t>
      </w:r>
    </w:p>
    <w:p w14:paraId="2AC81A4D" w14:textId="77777777" w:rsidR="002440D5" w:rsidRPr="004E2959" w:rsidRDefault="002440D5" w:rsidP="002440D5">
      <w:pPr>
        <w:jc w:val="center"/>
        <w:rPr>
          <w:b/>
          <w:lang w:val="en-US"/>
        </w:rPr>
      </w:pPr>
    </w:p>
    <w:p w14:paraId="59A5CF5E" w14:textId="77777777" w:rsidR="002440D5" w:rsidRDefault="002440D5" w:rsidP="002440D5">
      <w:pPr>
        <w:jc w:val="center"/>
        <w:rPr>
          <w:b/>
          <w:lang w:val="en-US"/>
        </w:rPr>
      </w:pPr>
      <w:r w:rsidRPr="004E2959">
        <w:rPr>
          <w:b/>
          <w:lang w:val="en-US"/>
        </w:rPr>
        <w:t>Responses received from Germany</w:t>
      </w:r>
      <w:r>
        <w:rPr>
          <w:b/>
          <w:lang w:val="en-US"/>
        </w:rPr>
        <w:t xml:space="preserve"> on AOP 220</w:t>
      </w:r>
    </w:p>
    <w:p w14:paraId="4911295B" w14:textId="77777777" w:rsidR="002440D5" w:rsidRPr="004E2959" w:rsidRDefault="002440D5" w:rsidP="002440D5">
      <w:pPr>
        <w:jc w:val="center"/>
        <w:rPr>
          <w:b/>
          <w:lang w:val="en-US"/>
        </w:rPr>
      </w:pPr>
    </w:p>
    <w:p w14:paraId="326C6A97" w14:textId="77777777" w:rsidR="002440D5" w:rsidRDefault="002440D5">
      <w:pPr>
        <w:rPr>
          <w:b/>
          <w:lang w:val="en-US"/>
        </w:rPr>
      </w:pPr>
    </w:p>
    <w:p w14:paraId="0441F73B" w14:textId="77777777" w:rsidR="009060C8" w:rsidRDefault="00AF3FF5">
      <w:pPr>
        <w:rPr>
          <w:b/>
          <w:lang w:val="en-US"/>
        </w:rPr>
      </w:pPr>
      <w:r w:rsidRPr="00A46DCD">
        <w:rPr>
          <w:b/>
          <w:lang w:val="en-US"/>
        </w:rPr>
        <w:t xml:space="preserve">AOP </w:t>
      </w:r>
      <w:r w:rsidR="00807ED2">
        <w:rPr>
          <w:b/>
          <w:lang w:val="en-US"/>
        </w:rPr>
        <w:t>220</w:t>
      </w:r>
    </w:p>
    <w:p w14:paraId="71B633C6" w14:textId="77777777" w:rsidR="00807ED2" w:rsidRDefault="00807ED2">
      <w:pPr>
        <w:rPr>
          <w:b/>
          <w:lang w:val="en-US"/>
        </w:rPr>
      </w:pPr>
    </w:p>
    <w:p w14:paraId="75ED2C9C" w14:textId="77777777" w:rsidR="00807ED2" w:rsidRDefault="00807ED2">
      <w:pPr>
        <w:rPr>
          <w:b/>
          <w:lang w:val="en-US"/>
        </w:rPr>
      </w:pPr>
      <w:r>
        <w:rPr>
          <w:b/>
          <w:lang w:val="en-US"/>
        </w:rPr>
        <w:t>p. 6</w:t>
      </w:r>
    </w:p>
    <w:p w14:paraId="26D55C47" w14:textId="77777777" w:rsidR="00807ED2" w:rsidRPr="006B051C" w:rsidRDefault="00807ED2" w:rsidP="006B051C">
      <w:pPr>
        <w:pStyle w:val="ListParagraph"/>
        <w:numPr>
          <w:ilvl w:val="0"/>
          <w:numId w:val="13"/>
        </w:numPr>
        <w:rPr>
          <w:lang w:val="en-US"/>
        </w:rPr>
      </w:pPr>
      <w:r w:rsidRPr="006B051C">
        <w:rPr>
          <w:b/>
          <w:lang w:val="en-US"/>
        </w:rPr>
        <w:t>L-2-oxothiazolidine-4-carboxylic acid</w:t>
      </w:r>
      <w:r w:rsidRPr="006B051C">
        <w:rPr>
          <w:lang w:val="en-US"/>
        </w:rPr>
        <w:t xml:space="preserve"> (OTC, a </w:t>
      </w:r>
      <w:r w:rsidRPr="006B051C">
        <w:rPr>
          <w:b/>
          <w:lang w:val="en-US"/>
        </w:rPr>
        <w:t xml:space="preserve">cysteine </w:t>
      </w:r>
      <w:r w:rsidRPr="006B051C">
        <w:rPr>
          <w:lang w:val="en-US"/>
        </w:rPr>
        <w:t xml:space="preserve">prodrug that maintains glutathione levels and thus reduces ROS) </w:t>
      </w:r>
    </w:p>
    <w:p w14:paraId="15695B7E" w14:textId="74F19DAF" w:rsidR="00D85864" w:rsidRDefault="006B051C" w:rsidP="00D85864">
      <w:pPr>
        <w:pStyle w:val="ListParagraph"/>
        <w:numPr>
          <w:ilvl w:val="0"/>
          <w:numId w:val="13"/>
        </w:numPr>
        <w:rPr>
          <w:lang w:val="en-US"/>
        </w:rPr>
      </w:pPr>
      <w:r w:rsidRPr="006B051C">
        <w:rPr>
          <w:lang w:val="en-US"/>
        </w:rPr>
        <w:t xml:space="preserve">Primary rat hepatocytes exhibit a dose-dependent increase in </w:t>
      </w:r>
      <w:proofErr w:type="spellStart"/>
      <w:r w:rsidRPr="006B051C">
        <w:rPr>
          <w:b/>
          <w:lang w:val="en-US"/>
        </w:rPr>
        <w:t>thiobarbituric</w:t>
      </w:r>
      <w:proofErr w:type="spellEnd"/>
      <w:r w:rsidRPr="006B051C">
        <w:rPr>
          <w:b/>
          <w:lang w:val="en-US"/>
        </w:rPr>
        <w:t xml:space="preserve"> acid reactive substances</w:t>
      </w:r>
      <w:r w:rsidRPr="006B051C">
        <w:rPr>
          <w:lang w:val="en-US"/>
        </w:rPr>
        <w:t xml:space="preserve"> (TBARS)</w:t>
      </w:r>
      <w:r w:rsidR="00FA720B">
        <w:rPr>
          <w:lang w:val="en-US"/>
        </w:rPr>
        <w:t xml:space="preserve"> </w:t>
      </w:r>
      <w:r w:rsidR="00FA720B" w:rsidRPr="00FA720B">
        <w:rPr>
          <w:lang w:val="en-US"/>
        </w:rPr>
        <w:t xml:space="preserve">and increased cytotoxicity following exposure to </w:t>
      </w:r>
      <w:proofErr w:type="spellStart"/>
      <w:r w:rsidR="00FA720B" w:rsidRPr="00FA720B">
        <w:rPr>
          <w:b/>
          <w:lang w:val="en-US"/>
        </w:rPr>
        <w:t>fumonisin</w:t>
      </w:r>
      <w:proofErr w:type="spellEnd"/>
      <w:r w:rsidR="00FA720B" w:rsidRPr="00FA720B">
        <w:rPr>
          <w:b/>
          <w:lang w:val="en-US"/>
        </w:rPr>
        <w:t xml:space="preserve"> B1 </w:t>
      </w:r>
      <w:r w:rsidR="00FA720B" w:rsidRPr="00FA720B">
        <w:rPr>
          <w:lang w:val="en-US"/>
        </w:rPr>
        <w:t>(FB1)</w:t>
      </w:r>
    </w:p>
    <w:p w14:paraId="743B2CBF" w14:textId="05B31A85" w:rsidR="00D85864" w:rsidRPr="00D85864" w:rsidRDefault="00D85864" w:rsidP="00D85864">
      <w:pPr>
        <w:rPr>
          <w:color w:val="FF0000"/>
          <w:lang w:val="en-US"/>
        </w:rPr>
      </w:pPr>
      <w:r w:rsidRPr="00D85864">
        <w:rPr>
          <w:color w:val="FF0000"/>
          <w:lang w:val="en-US"/>
        </w:rPr>
        <w:t>Author response: Thank you. Revised as recommended.</w:t>
      </w:r>
    </w:p>
    <w:p w14:paraId="7E627C65" w14:textId="77777777" w:rsidR="00D85864" w:rsidRPr="00D85864" w:rsidRDefault="00D85864" w:rsidP="00D85864">
      <w:pPr>
        <w:rPr>
          <w:lang w:val="en-US"/>
        </w:rPr>
      </w:pPr>
    </w:p>
    <w:p w14:paraId="296AF43F" w14:textId="77777777" w:rsidR="00A944CF" w:rsidRPr="00A944CF" w:rsidRDefault="00A944CF" w:rsidP="00A944CF">
      <w:pPr>
        <w:rPr>
          <w:b/>
          <w:lang w:val="en-US"/>
        </w:rPr>
      </w:pPr>
      <w:r w:rsidRPr="00A944CF">
        <w:rPr>
          <w:b/>
          <w:lang w:val="en-US"/>
        </w:rPr>
        <w:t>p. 7</w:t>
      </w:r>
    </w:p>
    <w:p w14:paraId="0728D6D4" w14:textId="77777777" w:rsidR="00A944CF" w:rsidRPr="00A944CF" w:rsidRDefault="00A944CF" w:rsidP="00A944CF">
      <w:pPr>
        <w:rPr>
          <w:lang w:val="en-US"/>
        </w:rPr>
      </w:pPr>
      <w:r w:rsidRPr="00A944CF">
        <w:rPr>
          <w:lang w:val="en-US"/>
        </w:rPr>
        <w:t xml:space="preserve">largest increases in necrosis, inflammation, </w:t>
      </w:r>
      <w:r w:rsidRPr="00A944CF">
        <w:rPr>
          <w:b/>
          <w:lang w:val="en-US"/>
        </w:rPr>
        <w:t>Aspartate-aminotransferase</w:t>
      </w:r>
      <w:r>
        <w:rPr>
          <w:lang w:val="en-US"/>
        </w:rPr>
        <w:t xml:space="preserve"> (</w:t>
      </w:r>
      <w:r w:rsidRPr="00A944CF">
        <w:rPr>
          <w:lang w:val="en-US"/>
        </w:rPr>
        <w:t>AST</w:t>
      </w:r>
      <w:r>
        <w:rPr>
          <w:lang w:val="en-US"/>
        </w:rPr>
        <w:t>)</w:t>
      </w:r>
      <w:r w:rsidRPr="00A944CF">
        <w:rPr>
          <w:lang w:val="en-US"/>
        </w:rPr>
        <w:t xml:space="preserve">, </w:t>
      </w:r>
      <w:r w:rsidRPr="00A944CF">
        <w:rPr>
          <w:b/>
          <w:lang w:val="en-US"/>
        </w:rPr>
        <w:t>Alanine-aminotransferase</w:t>
      </w:r>
      <w:r>
        <w:rPr>
          <w:lang w:val="en-US"/>
        </w:rPr>
        <w:t xml:space="preserve"> (</w:t>
      </w:r>
      <w:r w:rsidRPr="00A944CF">
        <w:rPr>
          <w:lang w:val="en-US"/>
        </w:rPr>
        <w:t>ALT</w:t>
      </w:r>
      <w:r>
        <w:rPr>
          <w:lang w:val="en-US"/>
        </w:rPr>
        <w:t>)</w:t>
      </w:r>
      <w:r w:rsidRPr="00A944CF">
        <w:rPr>
          <w:lang w:val="en-US"/>
        </w:rPr>
        <w:t xml:space="preserve"> and TBARS, and the largest decrease in </w:t>
      </w:r>
      <w:r w:rsidRPr="00A944CF">
        <w:rPr>
          <w:b/>
          <w:lang w:val="en-US"/>
        </w:rPr>
        <w:t>glutathione</w:t>
      </w:r>
      <w:r>
        <w:rPr>
          <w:lang w:val="en-US"/>
        </w:rPr>
        <w:t xml:space="preserve"> (</w:t>
      </w:r>
      <w:r w:rsidRPr="00A944CF">
        <w:rPr>
          <w:lang w:val="en-US"/>
        </w:rPr>
        <w:t>GSH</w:t>
      </w:r>
      <w:r>
        <w:rPr>
          <w:lang w:val="en-US"/>
        </w:rPr>
        <w:t>)</w:t>
      </w:r>
      <w:r w:rsidRPr="00A944CF">
        <w:rPr>
          <w:lang w:val="en-US"/>
        </w:rPr>
        <w:t xml:space="preserve"> levels of all three groups</w:t>
      </w:r>
    </w:p>
    <w:p w14:paraId="430D18E3" w14:textId="2E83C3B1" w:rsidR="00D85864" w:rsidRPr="00D85864" w:rsidRDefault="00D85864" w:rsidP="00D85864">
      <w:pPr>
        <w:rPr>
          <w:color w:val="FF0000"/>
          <w:lang w:val="en-US"/>
        </w:rPr>
      </w:pPr>
      <w:r w:rsidRPr="00D85864">
        <w:rPr>
          <w:color w:val="FF0000"/>
          <w:lang w:val="en-US"/>
        </w:rPr>
        <w:t>Author response: Thank</w:t>
      </w:r>
      <w:r>
        <w:rPr>
          <w:color w:val="FF0000"/>
          <w:lang w:val="en-US"/>
        </w:rPr>
        <w:t xml:space="preserve"> </w:t>
      </w:r>
      <w:r w:rsidRPr="00D85864">
        <w:rPr>
          <w:color w:val="FF0000"/>
          <w:lang w:val="en-US"/>
        </w:rPr>
        <w:t>you. Revised as recommended.</w:t>
      </w:r>
    </w:p>
    <w:p w14:paraId="44C6307F" w14:textId="77777777" w:rsidR="006B051C" w:rsidRPr="00FA720B" w:rsidRDefault="006B051C" w:rsidP="00D85864">
      <w:pPr>
        <w:rPr>
          <w:lang w:val="en-US"/>
        </w:rPr>
      </w:pPr>
    </w:p>
    <w:p w14:paraId="023F5BCC" w14:textId="77777777" w:rsidR="00D446E1" w:rsidRDefault="005A415F">
      <w:pPr>
        <w:rPr>
          <w:b/>
          <w:lang w:val="en-US"/>
        </w:rPr>
      </w:pPr>
      <w:r>
        <w:rPr>
          <w:b/>
          <w:lang w:val="en-US"/>
        </w:rPr>
        <w:t>p. 8</w:t>
      </w:r>
    </w:p>
    <w:p w14:paraId="53B1448D" w14:textId="68809B9F" w:rsidR="005A415F" w:rsidRDefault="005A415F" w:rsidP="00134A38">
      <w:pPr>
        <w:pStyle w:val="ListParagraph"/>
        <w:numPr>
          <w:ilvl w:val="0"/>
          <w:numId w:val="14"/>
        </w:numPr>
        <w:rPr>
          <w:lang w:val="en-US"/>
        </w:rPr>
      </w:pPr>
      <w:r w:rsidRPr="00134A38">
        <w:rPr>
          <w:lang w:val="en-US"/>
        </w:rPr>
        <w:t xml:space="preserve">whereas plasma </w:t>
      </w:r>
      <w:r w:rsidRPr="00134A38">
        <w:rPr>
          <w:b/>
          <w:lang w:val="en-US"/>
        </w:rPr>
        <w:t>Total Antioxidant Capacity (TAC)</w:t>
      </w:r>
      <w:r w:rsidRPr="00134A38">
        <w:rPr>
          <w:lang w:val="en-US"/>
        </w:rPr>
        <w:t xml:space="preserve"> </w:t>
      </w:r>
      <w:r w:rsidRPr="00134A38">
        <w:rPr>
          <w:b/>
          <w:strike/>
          <w:lang w:val="en-US"/>
        </w:rPr>
        <w:t>biomarker of antioxidant capacity)</w:t>
      </w:r>
      <w:r w:rsidRPr="00134A38">
        <w:rPr>
          <w:lang w:val="en-US"/>
        </w:rPr>
        <w:t xml:space="preserve"> is significantly lower in </w:t>
      </w:r>
      <w:r w:rsidRPr="00134A38">
        <w:rPr>
          <w:b/>
          <w:lang w:val="en-US"/>
        </w:rPr>
        <w:t>Hepatocellular Carcinoma</w:t>
      </w:r>
      <w:r w:rsidRPr="00134A38">
        <w:rPr>
          <w:lang w:val="en-US"/>
        </w:rPr>
        <w:t xml:space="preserve"> (HCC) patients than healthy controls</w:t>
      </w:r>
    </w:p>
    <w:p w14:paraId="11378959" w14:textId="0FF738F1" w:rsidR="00D85864" w:rsidRPr="00D85864" w:rsidRDefault="00D85864" w:rsidP="00D85864">
      <w:pPr>
        <w:rPr>
          <w:color w:val="FF0000"/>
          <w:lang w:val="en-US"/>
        </w:rPr>
      </w:pPr>
      <w:r w:rsidRPr="00D85864">
        <w:rPr>
          <w:color w:val="FF0000"/>
          <w:lang w:val="en-US"/>
        </w:rPr>
        <w:t>Author response: Thank you. Revised as recommended.</w:t>
      </w:r>
    </w:p>
    <w:p w14:paraId="28DF16D4" w14:textId="77777777" w:rsidR="00D85864" w:rsidRPr="00D85864" w:rsidRDefault="00D85864" w:rsidP="00D85864">
      <w:pPr>
        <w:ind w:left="360"/>
        <w:rPr>
          <w:lang w:val="en-US"/>
        </w:rPr>
      </w:pPr>
    </w:p>
    <w:p w14:paraId="529FABD7" w14:textId="77777777" w:rsidR="00134A38" w:rsidRDefault="00134A38" w:rsidP="00134A38">
      <w:pPr>
        <w:pStyle w:val="ListParagraph"/>
        <w:numPr>
          <w:ilvl w:val="0"/>
          <w:numId w:val="14"/>
        </w:numPr>
        <w:rPr>
          <w:color w:val="0070C0"/>
          <w:lang w:val="en-US"/>
        </w:rPr>
      </w:pPr>
      <w:r w:rsidRPr="00134A38">
        <w:rPr>
          <w:bCs/>
          <w:lang w:val="en-US"/>
        </w:rPr>
        <w:t>Essentiality of the Key Events</w:t>
      </w:r>
      <w:r w:rsidRPr="00134A38">
        <w:rPr>
          <w:bCs/>
          <w:color w:val="0070C0"/>
          <w:lang w:val="en-US"/>
        </w:rPr>
        <w:t xml:space="preserve">: should it be mentioned here that </w:t>
      </w:r>
      <w:proofErr w:type="spellStart"/>
      <w:r w:rsidRPr="00134A38">
        <w:rPr>
          <w:color w:val="0070C0"/>
          <w:lang w:val="en-US"/>
        </w:rPr>
        <w:t>etheno</w:t>
      </w:r>
      <w:proofErr w:type="spellEnd"/>
      <w:r w:rsidRPr="00134A38">
        <w:rPr>
          <w:color w:val="0070C0"/>
          <w:lang w:val="en-US"/>
        </w:rPr>
        <w:t xml:space="preserve">-DNA adducts were also detected in the liver of patients with nonalcoholic fatty liver disease produced by the reaction of ROS </w:t>
      </w:r>
      <w:proofErr w:type="gramStart"/>
      <w:r w:rsidRPr="00134A38">
        <w:rPr>
          <w:color w:val="0070C0"/>
          <w:lang w:val="en-US"/>
        </w:rPr>
        <w:t>with  polyunsaturated</w:t>
      </w:r>
      <w:proofErr w:type="gramEnd"/>
      <w:r w:rsidRPr="00134A38">
        <w:rPr>
          <w:color w:val="0070C0"/>
          <w:lang w:val="en-US"/>
        </w:rPr>
        <w:t xml:space="preserve"> fatty  acids (</w:t>
      </w:r>
      <w:proofErr w:type="spellStart"/>
      <w:r w:rsidRPr="00134A38">
        <w:rPr>
          <w:color w:val="0070C0"/>
          <w:lang w:val="en-US"/>
        </w:rPr>
        <w:t>doi</w:t>
      </w:r>
      <w:proofErr w:type="spellEnd"/>
      <w:r w:rsidRPr="00134A38">
        <w:rPr>
          <w:color w:val="0070C0"/>
          <w:lang w:val="en-US"/>
        </w:rPr>
        <w:t>: 10.3978/j.issn.2304-3881.2015.01.14)</w:t>
      </w:r>
    </w:p>
    <w:p w14:paraId="0A980D13" w14:textId="77777777" w:rsidR="00975B37" w:rsidRDefault="00975B37" w:rsidP="00975B37">
      <w:pPr>
        <w:rPr>
          <w:color w:val="FF0000"/>
          <w:lang w:val="en-US"/>
        </w:rPr>
      </w:pPr>
      <w:r w:rsidRPr="008E6CA6">
        <w:rPr>
          <w:color w:val="FF0000"/>
          <w:lang w:val="en-US"/>
        </w:rPr>
        <w:t>Author response: Thank you</w:t>
      </w:r>
      <w:r>
        <w:rPr>
          <w:color w:val="FF0000"/>
          <w:lang w:val="en-US"/>
        </w:rPr>
        <w:t xml:space="preserve"> for the additional reference. We feel it’s most suited to the uncertainties/inconsistencies section of the AOP and have included the following:</w:t>
      </w:r>
    </w:p>
    <w:p w14:paraId="179E2AC3" w14:textId="2C458FF9" w:rsidR="00975B37" w:rsidRPr="008E6CA6" w:rsidRDefault="00975B37" w:rsidP="008E6CA6">
      <w:pPr>
        <w:rPr>
          <w:color w:val="FF0000"/>
          <w:lang w:val="en-US"/>
        </w:rPr>
      </w:pPr>
      <w:r>
        <w:rPr>
          <w:color w:val="FF0000"/>
          <w:lang w:val="en-US"/>
        </w:rPr>
        <w:t>“</w:t>
      </w:r>
      <w:r w:rsidRPr="00975B37">
        <w:rPr>
          <w:color w:val="FF0000"/>
          <w:lang w:val="en-US"/>
        </w:rPr>
        <w:t xml:space="preserve">In addition, Cyp2E1 is not uniquely responsible for producing ROS and inflammation in the liver. There are other well-known modes of action that can also produce these effects that may be occurring in parallel with this AOP. For example, ROS production was shown to be driven by inflammatory cytokines (as opposed to Cyp2E1) in non-alcoholic fatty liver disease (NAFLD) and non-alcoholic steatohepatitis (NASH). In this case, hepatocellular carcinoma was driven by the production of carcinogenic exocyclic </w:t>
      </w:r>
      <w:proofErr w:type="spellStart"/>
      <w:r w:rsidRPr="00975B37">
        <w:rPr>
          <w:color w:val="FF0000"/>
          <w:lang w:val="en-US"/>
        </w:rPr>
        <w:t>etheno</w:t>
      </w:r>
      <w:proofErr w:type="spellEnd"/>
      <w:r w:rsidRPr="00975B37">
        <w:rPr>
          <w:color w:val="FF0000"/>
          <w:lang w:val="en-US"/>
        </w:rPr>
        <w:t>-DNA adducts (</w:t>
      </w:r>
      <w:proofErr w:type="spellStart"/>
      <w:r w:rsidRPr="00975B37">
        <w:rPr>
          <w:color w:val="FF0000"/>
          <w:lang w:val="en-US"/>
        </w:rPr>
        <w:t>Linhart</w:t>
      </w:r>
      <w:proofErr w:type="spellEnd"/>
      <w:r w:rsidRPr="00975B37">
        <w:rPr>
          <w:color w:val="FF0000"/>
          <w:lang w:val="en-US"/>
        </w:rPr>
        <w:t xml:space="preserve"> et al., 2015).</w:t>
      </w:r>
      <w:r>
        <w:rPr>
          <w:color w:val="FF0000"/>
          <w:lang w:val="en-US"/>
        </w:rPr>
        <w:t>”</w:t>
      </w:r>
      <w:r w:rsidR="008E6CA6">
        <w:rPr>
          <w:color w:val="FF0000"/>
          <w:lang w:val="en-US"/>
        </w:rPr>
        <w:t xml:space="preserve"> We have also added the reference to the reference section.</w:t>
      </w:r>
    </w:p>
    <w:p w14:paraId="5290470C" w14:textId="77777777" w:rsidR="00134A38" w:rsidRDefault="00134A38" w:rsidP="00134A38">
      <w:pPr>
        <w:rPr>
          <w:color w:val="0070C0"/>
          <w:lang w:val="en-US"/>
        </w:rPr>
      </w:pPr>
    </w:p>
    <w:p w14:paraId="04027F70" w14:textId="77777777" w:rsidR="00134A38" w:rsidRPr="00373BDD" w:rsidRDefault="00373BDD" w:rsidP="00134A38">
      <w:pPr>
        <w:rPr>
          <w:b/>
          <w:lang w:val="en-US"/>
        </w:rPr>
      </w:pPr>
      <w:r w:rsidRPr="00373BDD">
        <w:rPr>
          <w:b/>
          <w:lang w:val="en-US"/>
        </w:rPr>
        <w:t>p. 9</w:t>
      </w:r>
    </w:p>
    <w:p w14:paraId="6EDFAAA0" w14:textId="77777777" w:rsidR="00373BDD" w:rsidRDefault="00373BDD" w:rsidP="00134A38">
      <w:pPr>
        <w:rPr>
          <w:lang w:val="en-US"/>
        </w:rPr>
      </w:pPr>
      <w:r w:rsidRPr="00373BDD">
        <w:rPr>
          <w:lang w:val="en-US"/>
        </w:rPr>
        <w:t xml:space="preserve">table 1: </w:t>
      </w:r>
      <w:r w:rsidRPr="00373BDD">
        <w:rPr>
          <w:b/>
          <w:lang w:val="en-US"/>
        </w:rPr>
        <w:t>damage-associated molecular patterns</w:t>
      </w:r>
      <w:r>
        <w:rPr>
          <w:lang w:val="en-US"/>
        </w:rPr>
        <w:t xml:space="preserve"> (DAMPs</w:t>
      </w:r>
      <w:r w:rsidRPr="00373BDD">
        <w:rPr>
          <w:lang w:val="en-US"/>
        </w:rPr>
        <w:t>)</w:t>
      </w:r>
    </w:p>
    <w:p w14:paraId="4BD81E00" w14:textId="77777777" w:rsidR="0048261B" w:rsidRPr="00D85864" w:rsidRDefault="0048261B" w:rsidP="0048261B">
      <w:pPr>
        <w:rPr>
          <w:color w:val="FF0000"/>
          <w:lang w:val="en-US"/>
        </w:rPr>
      </w:pPr>
      <w:r w:rsidRPr="00D85864">
        <w:rPr>
          <w:color w:val="FF0000"/>
          <w:lang w:val="en-US"/>
        </w:rPr>
        <w:t>Author response: Thank you. Revised as recommended.</w:t>
      </w:r>
    </w:p>
    <w:p w14:paraId="15A1AC25" w14:textId="77777777" w:rsidR="001132FA" w:rsidRDefault="001132FA" w:rsidP="00134A38">
      <w:pPr>
        <w:rPr>
          <w:lang w:val="en-US"/>
        </w:rPr>
      </w:pPr>
    </w:p>
    <w:p w14:paraId="7655D032" w14:textId="77777777" w:rsidR="001132FA" w:rsidRPr="001132FA" w:rsidRDefault="001132FA" w:rsidP="00134A38">
      <w:pPr>
        <w:rPr>
          <w:b/>
          <w:lang w:val="en-US"/>
        </w:rPr>
      </w:pPr>
      <w:r w:rsidRPr="001132FA">
        <w:rPr>
          <w:b/>
          <w:lang w:val="en-US"/>
        </w:rPr>
        <w:t>p. 10</w:t>
      </w:r>
    </w:p>
    <w:p w14:paraId="5520F650" w14:textId="77777777" w:rsidR="001132FA" w:rsidRDefault="001132FA" w:rsidP="00134A38">
      <w:pPr>
        <w:rPr>
          <w:b/>
          <w:lang w:val="en-US"/>
        </w:rPr>
      </w:pPr>
      <w:r w:rsidRPr="001132FA">
        <w:rPr>
          <w:lang w:val="en-US"/>
        </w:rPr>
        <w:t>which can be inhibited in a dose-dependent way by apigenin</w:t>
      </w:r>
      <w:r>
        <w:rPr>
          <w:lang w:val="en-US"/>
        </w:rPr>
        <w:t xml:space="preserve"> </w:t>
      </w:r>
      <w:r w:rsidRPr="001132FA">
        <w:rPr>
          <w:b/>
          <w:lang w:val="en-US"/>
        </w:rPr>
        <w:t>(a secondary plant pigment)</w:t>
      </w:r>
    </w:p>
    <w:p w14:paraId="573651F6" w14:textId="77777777" w:rsidR="0048261B" w:rsidRPr="00D85864" w:rsidRDefault="0048261B" w:rsidP="0048261B">
      <w:pPr>
        <w:rPr>
          <w:color w:val="FF0000"/>
          <w:lang w:val="en-US"/>
        </w:rPr>
      </w:pPr>
      <w:r w:rsidRPr="00D85864">
        <w:rPr>
          <w:color w:val="FF0000"/>
          <w:lang w:val="en-US"/>
        </w:rPr>
        <w:t>Author response: Thank you. Revised as recommended.</w:t>
      </w:r>
    </w:p>
    <w:p w14:paraId="6C96477B" w14:textId="77777777" w:rsidR="001132FA" w:rsidRDefault="001132FA" w:rsidP="00134A38">
      <w:pPr>
        <w:rPr>
          <w:b/>
          <w:lang w:val="en-US"/>
        </w:rPr>
      </w:pPr>
    </w:p>
    <w:p w14:paraId="5C413384" w14:textId="77777777" w:rsidR="001132FA" w:rsidRPr="00657CBA" w:rsidRDefault="00114C00" w:rsidP="00134A38">
      <w:pPr>
        <w:rPr>
          <w:b/>
          <w:lang w:val="en-US"/>
        </w:rPr>
      </w:pPr>
      <w:r w:rsidRPr="00657CBA">
        <w:rPr>
          <w:b/>
          <w:lang w:val="en-US"/>
        </w:rPr>
        <w:t>p. 11</w:t>
      </w:r>
    </w:p>
    <w:p w14:paraId="4C623647" w14:textId="77777777" w:rsidR="00114C00" w:rsidRDefault="00114C00" w:rsidP="00134A38">
      <w:pPr>
        <w:rPr>
          <w:lang w:val="en-US"/>
        </w:rPr>
      </w:pPr>
      <w:r w:rsidRPr="00114C00">
        <w:rPr>
          <w:lang w:val="en-US"/>
        </w:rPr>
        <w:t>glutathione depletion (</w:t>
      </w:r>
      <w:r w:rsidRPr="00114C00">
        <w:rPr>
          <w:b/>
          <w:lang w:val="en-US"/>
        </w:rPr>
        <w:t xml:space="preserve">using buthionine </w:t>
      </w:r>
      <w:proofErr w:type="spellStart"/>
      <w:r w:rsidRPr="00114C00">
        <w:rPr>
          <w:b/>
          <w:lang w:val="en-US"/>
        </w:rPr>
        <w:t>sulfoximine</w:t>
      </w:r>
      <w:proofErr w:type="spellEnd"/>
      <w:r w:rsidRPr="00114C00">
        <w:rPr>
          <w:lang w:val="en-US"/>
        </w:rPr>
        <w:t xml:space="preserve"> (BSO)</w:t>
      </w:r>
      <w:r>
        <w:rPr>
          <w:lang w:val="en-US"/>
        </w:rPr>
        <w:t>)</w:t>
      </w:r>
    </w:p>
    <w:p w14:paraId="423686D0" w14:textId="77777777" w:rsidR="0048261B" w:rsidRPr="00D85864" w:rsidRDefault="0048261B" w:rsidP="0048261B">
      <w:pPr>
        <w:rPr>
          <w:color w:val="FF0000"/>
          <w:lang w:val="en-US"/>
        </w:rPr>
      </w:pPr>
      <w:r w:rsidRPr="00D85864">
        <w:rPr>
          <w:color w:val="FF0000"/>
          <w:lang w:val="en-US"/>
        </w:rPr>
        <w:t>Author response: Thank you. Revised as recommended.</w:t>
      </w:r>
    </w:p>
    <w:p w14:paraId="6EC92E23" w14:textId="77777777" w:rsidR="00657CBA" w:rsidRDefault="00657CBA" w:rsidP="00134A38">
      <w:pPr>
        <w:rPr>
          <w:lang w:val="en-US"/>
        </w:rPr>
      </w:pPr>
    </w:p>
    <w:p w14:paraId="36FBE795" w14:textId="77777777" w:rsidR="00657CBA" w:rsidRPr="00657CBA" w:rsidRDefault="00657CBA" w:rsidP="00134A38">
      <w:pPr>
        <w:rPr>
          <w:b/>
          <w:lang w:val="en-US"/>
        </w:rPr>
      </w:pPr>
      <w:r w:rsidRPr="00657CBA">
        <w:rPr>
          <w:b/>
          <w:lang w:val="en-US"/>
        </w:rPr>
        <w:t xml:space="preserve">p. 12 </w:t>
      </w:r>
    </w:p>
    <w:p w14:paraId="78F00422" w14:textId="77777777" w:rsidR="008E0125" w:rsidRPr="008E0125" w:rsidRDefault="00657CBA" w:rsidP="008E0125">
      <w:pPr>
        <w:pStyle w:val="Default"/>
        <w:rPr>
          <w:rFonts w:asciiTheme="minorHAnsi" w:hAnsiTheme="minorHAnsi" w:cstheme="minorHAnsi"/>
          <w:sz w:val="22"/>
          <w:szCs w:val="22"/>
          <w:lang w:val="en-US"/>
        </w:rPr>
      </w:pPr>
      <w:r w:rsidRPr="00FA7C55">
        <w:rPr>
          <w:rFonts w:asciiTheme="minorHAnsi" w:hAnsiTheme="minorHAnsi" w:cstheme="minorHAnsi"/>
          <w:sz w:val="22"/>
          <w:szCs w:val="22"/>
          <w:lang w:val="en-US"/>
        </w:rPr>
        <w:t xml:space="preserve">table 3: </w:t>
      </w:r>
      <w:r w:rsidR="008E0125" w:rsidRPr="008E0125">
        <w:rPr>
          <w:rFonts w:asciiTheme="minorHAnsi" w:hAnsiTheme="minorHAnsi" w:cstheme="minorHAnsi"/>
          <w:sz w:val="22"/>
          <w:szCs w:val="22"/>
          <w:lang w:val="en-US"/>
        </w:rPr>
        <w:t>De</w:t>
      </w:r>
      <w:r w:rsidR="008E0125">
        <w:rPr>
          <w:rFonts w:asciiTheme="minorHAnsi" w:hAnsiTheme="minorHAnsi" w:cstheme="minorHAnsi"/>
          <w:sz w:val="22"/>
          <w:szCs w:val="22"/>
          <w:lang w:val="en-US"/>
        </w:rPr>
        <w:t xml:space="preserve">fining question 2: There are no </w:t>
      </w:r>
      <w:r w:rsidR="008E0125" w:rsidRPr="008E0125">
        <w:rPr>
          <w:rFonts w:asciiTheme="minorHAnsi" w:hAnsiTheme="minorHAnsi" w:cstheme="minorHAnsi"/>
          <w:sz w:val="22"/>
          <w:szCs w:val="22"/>
          <w:lang w:val="en-US"/>
        </w:rPr>
        <w:t>contradictions to the ‘defining question 1’ in</w:t>
      </w:r>
    </w:p>
    <w:p w14:paraId="2ADB97B8" w14:textId="77777777" w:rsidR="008E0125" w:rsidRDefault="008E0125" w:rsidP="008E0125">
      <w:pPr>
        <w:pStyle w:val="Default"/>
        <w:rPr>
          <w:rFonts w:asciiTheme="minorHAnsi" w:hAnsiTheme="minorHAnsi" w:cstheme="minorHAnsi"/>
          <w:sz w:val="22"/>
          <w:szCs w:val="22"/>
          <w:lang w:val="en-US"/>
        </w:rPr>
      </w:pPr>
      <w:r w:rsidRPr="008E0125">
        <w:rPr>
          <w:rFonts w:asciiTheme="minorHAnsi" w:hAnsiTheme="minorHAnsi" w:cstheme="minorHAnsi"/>
          <w:sz w:val="22"/>
          <w:szCs w:val="22"/>
          <w:lang w:val="en-US"/>
        </w:rPr>
        <w:lastRenderedPageBreak/>
        <w:t>the literature.</w:t>
      </w:r>
    </w:p>
    <w:p w14:paraId="455841FD" w14:textId="77777777" w:rsidR="00FA7C55" w:rsidRPr="008E0125" w:rsidRDefault="00AF2CDE" w:rsidP="008E0125">
      <w:pPr>
        <w:pStyle w:val="Default"/>
        <w:rPr>
          <w:rFonts w:asciiTheme="minorHAnsi" w:hAnsiTheme="minorHAnsi" w:cstheme="minorHAnsi"/>
          <w:color w:val="4F81BD" w:themeColor="accent1"/>
          <w:sz w:val="22"/>
          <w:szCs w:val="22"/>
          <w:lang w:val="en-US"/>
        </w:rPr>
      </w:pPr>
      <w:r w:rsidRPr="008E0125">
        <w:rPr>
          <w:rFonts w:asciiTheme="minorHAnsi" w:hAnsiTheme="minorHAnsi" w:cstheme="minorHAnsi"/>
          <w:color w:val="4F81BD" w:themeColor="accent1"/>
          <w:sz w:val="22"/>
          <w:szCs w:val="22"/>
          <w:lang w:val="en-US"/>
        </w:rPr>
        <w:t xml:space="preserve">It is suggested to modify this statement as </w:t>
      </w:r>
      <w:proofErr w:type="spellStart"/>
      <w:r w:rsidRPr="008E0125">
        <w:rPr>
          <w:rFonts w:asciiTheme="minorHAnsi" w:hAnsiTheme="minorHAnsi" w:cstheme="minorHAnsi"/>
          <w:color w:val="4F81BD" w:themeColor="accent1"/>
          <w:sz w:val="22"/>
          <w:szCs w:val="22"/>
          <w:lang w:val="en-US"/>
        </w:rPr>
        <w:t>follwo</w:t>
      </w:r>
      <w:r w:rsidR="00FA7C55" w:rsidRPr="008E0125">
        <w:rPr>
          <w:rFonts w:asciiTheme="minorHAnsi" w:hAnsiTheme="minorHAnsi" w:cstheme="minorHAnsi"/>
          <w:color w:val="4F81BD" w:themeColor="accent1"/>
          <w:sz w:val="22"/>
          <w:szCs w:val="22"/>
          <w:lang w:val="en-US"/>
        </w:rPr>
        <w:t>s</w:t>
      </w:r>
      <w:proofErr w:type="spellEnd"/>
      <w:r w:rsidR="00FA7C55" w:rsidRPr="008E0125">
        <w:rPr>
          <w:rFonts w:asciiTheme="minorHAnsi" w:hAnsiTheme="minorHAnsi" w:cstheme="minorHAnsi"/>
          <w:color w:val="4F81BD" w:themeColor="accent1"/>
          <w:sz w:val="22"/>
          <w:szCs w:val="22"/>
          <w:lang w:val="en-US"/>
        </w:rPr>
        <w:t>: There are no contradictions to the proposed KER in the literature</w:t>
      </w:r>
    </w:p>
    <w:p w14:paraId="37790BEA" w14:textId="77777777" w:rsidR="0048261B" w:rsidRPr="00D85864" w:rsidRDefault="0048261B" w:rsidP="0048261B">
      <w:pPr>
        <w:rPr>
          <w:color w:val="FF0000"/>
          <w:lang w:val="en-US"/>
        </w:rPr>
      </w:pPr>
      <w:r w:rsidRPr="00D85864">
        <w:rPr>
          <w:color w:val="FF0000"/>
          <w:lang w:val="en-US"/>
        </w:rPr>
        <w:t>Author response: Thank you. Revised as recommended.</w:t>
      </w:r>
    </w:p>
    <w:p w14:paraId="65E86013" w14:textId="77777777" w:rsidR="00657CBA" w:rsidRDefault="00657CBA" w:rsidP="00134A38">
      <w:pPr>
        <w:rPr>
          <w:lang w:val="en-US"/>
        </w:rPr>
      </w:pPr>
    </w:p>
    <w:p w14:paraId="1EBA9897" w14:textId="77777777" w:rsidR="003F71FE" w:rsidRPr="003F71FE" w:rsidRDefault="003F71FE" w:rsidP="00134A38">
      <w:pPr>
        <w:rPr>
          <w:b/>
          <w:lang w:val="en-US"/>
        </w:rPr>
      </w:pPr>
      <w:r w:rsidRPr="003F71FE">
        <w:rPr>
          <w:b/>
          <w:lang w:val="en-US"/>
        </w:rPr>
        <w:t>p. 15</w:t>
      </w:r>
    </w:p>
    <w:p w14:paraId="777C8A9B" w14:textId="77777777" w:rsidR="003F71FE" w:rsidRDefault="003F71FE" w:rsidP="00134A38">
      <w:pPr>
        <w:rPr>
          <w:lang w:val="en-US"/>
        </w:rPr>
      </w:pPr>
      <w:r w:rsidRPr="003F71FE">
        <w:rPr>
          <w:lang w:val="en-US"/>
        </w:rPr>
        <w:t>Therefore, an AOP describing these KEs and KERs might be used as a screening tool for compounds that act via this mode of action.</w:t>
      </w:r>
    </w:p>
    <w:p w14:paraId="7FDE4D86" w14:textId="77777777" w:rsidR="003F71FE" w:rsidRDefault="003F71FE" w:rsidP="00134A38">
      <w:pPr>
        <w:rPr>
          <w:color w:val="4F81BD" w:themeColor="accent1"/>
          <w:lang w:val="en-US"/>
        </w:rPr>
      </w:pPr>
      <w:r>
        <w:rPr>
          <w:color w:val="4F81BD" w:themeColor="accent1"/>
          <w:lang w:val="en-US"/>
        </w:rPr>
        <w:t xml:space="preserve">An AOP cannot be a screening tool. </w:t>
      </w:r>
      <w:r w:rsidR="00A00BED">
        <w:rPr>
          <w:color w:val="4F81BD" w:themeColor="accent1"/>
          <w:lang w:val="en-US"/>
        </w:rPr>
        <w:t>Are you referring to assays related to the MIE</w:t>
      </w:r>
      <w:r w:rsidR="00F96DCB">
        <w:rPr>
          <w:color w:val="4F81BD" w:themeColor="accent1"/>
          <w:lang w:val="en-US"/>
        </w:rPr>
        <w:t xml:space="preserve"> which could be used as a screening tool</w:t>
      </w:r>
      <w:r w:rsidR="00A00BED">
        <w:rPr>
          <w:color w:val="4F81BD" w:themeColor="accent1"/>
          <w:lang w:val="en-US"/>
        </w:rPr>
        <w:t>? Please specify the assays that would be appropriate for screening.</w:t>
      </w:r>
      <w:r w:rsidR="00870FE8">
        <w:rPr>
          <w:color w:val="4F81BD" w:themeColor="accent1"/>
          <w:lang w:val="en-US"/>
        </w:rPr>
        <w:t xml:space="preserve"> So far, only in vivo studies are mentioned, in vitro approaches should also be discussed. </w:t>
      </w:r>
    </w:p>
    <w:p w14:paraId="0E50F935" w14:textId="2E752694" w:rsidR="009D5759" w:rsidRPr="0048261B" w:rsidRDefault="0048261B" w:rsidP="00134A38">
      <w:pPr>
        <w:rPr>
          <w:color w:val="FF0000"/>
          <w:lang w:val="en-US"/>
        </w:rPr>
      </w:pPr>
      <w:r w:rsidRPr="0048261B">
        <w:rPr>
          <w:color w:val="FF0000"/>
          <w:lang w:val="en-US"/>
        </w:rPr>
        <w:t xml:space="preserve">Author response. We agree that this sentence </w:t>
      </w:r>
      <w:r>
        <w:rPr>
          <w:color w:val="FF0000"/>
          <w:lang w:val="en-US"/>
        </w:rPr>
        <w:t>does not make sense</w:t>
      </w:r>
      <w:r w:rsidRPr="0048261B">
        <w:rPr>
          <w:color w:val="FF0000"/>
          <w:lang w:val="en-US"/>
        </w:rPr>
        <w:t>. We have revised to – “Therefore, this AOP that describes sets of assays that can be used to determine if compound acts via this mode of action and evaluate the weight of evidence.”</w:t>
      </w:r>
    </w:p>
    <w:p w14:paraId="748EDE51" w14:textId="77777777" w:rsidR="0048261B" w:rsidRDefault="0048261B" w:rsidP="00134A38">
      <w:pPr>
        <w:rPr>
          <w:color w:val="4F81BD" w:themeColor="accent1"/>
          <w:lang w:val="en-US"/>
        </w:rPr>
      </w:pPr>
    </w:p>
    <w:p w14:paraId="53750C8B" w14:textId="77777777" w:rsidR="009D5759" w:rsidRPr="009D5759" w:rsidRDefault="009D5759" w:rsidP="00134A38">
      <w:pPr>
        <w:rPr>
          <w:b/>
          <w:lang w:val="en-US"/>
        </w:rPr>
      </w:pPr>
      <w:r w:rsidRPr="009D5759">
        <w:rPr>
          <w:b/>
          <w:lang w:val="en-US"/>
        </w:rPr>
        <w:t>p. 23</w:t>
      </w:r>
    </w:p>
    <w:p w14:paraId="4C6F035E" w14:textId="772652FF" w:rsidR="009D5759" w:rsidRDefault="009D5759" w:rsidP="00134A38">
      <w:pPr>
        <w:rPr>
          <w:lang w:val="en-US"/>
        </w:rPr>
      </w:pPr>
      <w:r w:rsidRPr="009D5759">
        <w:rPr>
          <w:lang w:val="en-US"/>
        </w:rPr>
        <w:t xml:space="preserve">which allows investigators to attribute the altered phenotype to gene </w:t>
      </w:r>
      <w:r w:rsidRPr="009D5759">
        <w:rPr>
          <w:b/>
          <w:strike/>
          <w:lang w:val="en-US"/>
        </w:rPr>
        <w:t>product</w:t>
      </w:r>
      <w:r w:rsidRPr="009D5759">
        <w:rPr>
          <w:lang w:val="en-US"/>
        </w:rPr>
        <w:t xml:space="preserve"> that has been knocked-out</w:t>
      </w:r>
    </w:p>
    <w:p w14:paraId="1C522B18" w14:textId="77777777" w:rsidR="00CF43C8" w:rsidRPr="00D85864" w:rsidRDefault="00CF43C8" w:rsidP="00CF43C8">
      <w:pPr>
        <w:rPr>
          <w:color w:val="FF0000"/>
          <w:lang w:val="en-US"/>
        </w:rPr>
      </w:pPr>
      <w:r w:rsidRPr="00D85864">
        <w:rPr>
          <w:color w:val="FF0000"/>
          <w:lang w:val="en-US"/>
        </w:rPr>
        <w:t>Author response: Thank you. Revised as recommended.</w:t>
      </w:r>
    </w:p>
    <w:p w14:paraId="144B002B" w14:textId="77777777" w:rsidR="00CF43C8" w:rsidRDefault="00CF43C8" w:rsidP="00134A38">
      <w:pPr>
        <w:rPr>
          <w:lang w:val="en-US"/>
        </w:rPr>
      </w:pPr>
    </w:p>
    <w:p w14:paraId="59E102F1" w14:textId="77777777" w:rsidR="005D19B3" w:rsidRDefault="00F52FEB" w:rsidP="00134A38">
      <w:pPr>
        <w:rPr>
          <w:color w:val="4F81BD" w:themeColor="accent1"/>
          <w:lang w:val="en-US"/>
        </w:rPr>
      </w:pPr>
      <w:r w:rsidRPr="00F52FEB">
        <w:rPr>
          <w:b/>
          <w:strike/>
          <w:lang w:val="en-US"/>
        </w:rPr>
        <w:t xml:space="preserve">Z </w:t>
      </w:r>
      <w:r w:rsidRPr="00F52FEB">
        <w:rPr>
          <w:b/>
          <w:lang w:val="en-US"/>
        </w:rPr>
        <w:t>2</w:t>
      </w:r>
      <w:r w:rsidR="005D19B3" w:rsidRPr="005D19B3">
        <w:rPr>
          <w:lang w:val="en-US"/>
        </w:rPr>
        <w:t>-Piperidone is a newly proposed biomarker of Cyp2E1 activity that is detected in urine</w:t>
      </w:r>
      <w:r>
        <w:rPr>
          <w:lang w:val="en-US"/>
        </w:rPr>
        <w:t xml:space="preserve"> – </w:t>
      </w:r>
      <w:r w:rsidRPr="00C720FD">
        <w:rPr>
          <w:color w:val="4F81BD" w:themeColor="accent1"/>
          <w:lang w:val="en-US"/>
        </w:rPr>
        <w:t xml:space="preserve">this statement doesn’t really fit in the assay section since it discusses omics results in urine samples. </w:t>
      </w:r>
      <w:r w:rsidR="00C720FD" w:rsidRPr="00C720FD">
        <w:rPr>
          <w:color w:val="4F81BD" w:themeColor="accent1"/>
          <w:lang w:val="en-US"/>
        </w:rPr>
        <w:t>It is proposed to move this statement to the section Overview for Molecular Initiating Event</w:t>
      </w:r>
    </w:p>
    <w:p w14:paraId="585F39C1" w14:textId="77777777" w:rsidR="00CF43C8" w:rsidRPr="00D85864" w:rsidRDefault="00CF43C8" w:rsidP="00CF43C8">
      <w:pPr>
        <w:rPr>
          <w:color w:val="FF0000"/>
          <w:lang w:val="en-US"/>
        </w:rPr>
      </w:pPr>
      <w:r w:rsidRPr="00D85864">
        <w:rPr>
          <w:color w:val="FF0000"/>
          <w:lang w:val="en-US"/>
        </w:rPr>
        <w:t>Author response: Thank you. Revised as recommended.</w:t>
      </w:r>
    </w:p>
    <w:p w14:paraId="283AB091" w14:textId="77777777" w:rsidR="008C374B" w:rsidRDefault="008C374B" w:rsidP="00134A38">
      <w:pPr>
        <w:rPr>
          <w:color w:val="4F81BD" w:themeColor="accent1"/>
          <w:lang w:val="en-US"/>
        </w:rPr>
      </w:pPr>
    </w:p>
    <w:p w14:paraId="6E947C6C" w14:textId="77777777" w:rsidR="008C374B" w:rsidRPr="008C374B" w:rsidRDefault="008C374B" w:rsidP="00134A38">
      <w:pPr>
        <w:rPr>
          <w:b/>
          <w:lang w:val="en-US"/>
        </w:rPr>
      </w:pPr>
      <w:r w:rsidRPr="008C374B">
        <w:rPr>
          <w:b/>
          <w:lang w:val="en-US"/>
        </w:rPr>
        <w:t>p. 26</w:t>
      </w:r>
    </w:p>
    <w:p w14:paraId="51761B97" w14:textId="77777777" w:rsidR="008C374B" w:rsidRPr="008C374B" w:rsidRDefault="008C374B" w:rsidP="00134A38">
      <w:pPr>
        <w:rPr>
          <w:lang w:val="en-US"/>
        </w:rPr>
      </w:pPr>
      <w:r w:rsidRPr="008C374B">
        <w:rPr>
          <w:lang w:val="en-US"/>
        </w:rPr>
        <w:t>key event description</w:t>
      </w:r>
    </w:p>
    <w:p w14:paraId="3B0D6079" w14:textId="189991AB" w:rsidR="008C374B" w:rsidRDefault="008C374B" w:rsidP="000C241E">
      <w:pPr>
        <w:pStyle w:val="ListParagraph"/>
        <w:numPr>
          <w:ilvl w:val="0"/>
          <w:numId w:val="16"/>
        </w:numPr>
        <w:rPr>
          <w:color w:val="0070C0"/>
          <w:lang w:val="en-US"/>
        </w:rPr>
      </w:pPr>
      <w:r w:rsidRPr="000C241E">
        <w:rPr>
          <w:color w:val="0070C0"/>
          <w:lang w:val="en-US"/>
        </w:rPr>
        <w:t xml:space="preserve">The last sentence of this KE explicitly refers to brain (as part of AOP17) which might be misleading. It is proposed to add a sentence that </w:t>
      </w:r>
      <w:r w:rsidR="0089340C" w:rsidRPr="000C241E">
        <w:rPr>
          <w:color w:val="0070C0"/>
          <w:lang w:val="en-US"/>
        </w:rPr>
        <w:t>protection against oxidative stress is relevant for all tissues and organs.</w:t>
      </w:r>
    </w:p>
    <w:p w14:paraId="570FCE29" w14:textId="77777777" w:rsidR="00CF43C8" w:rsidRPr="00CF43C8" w:rsidRDefault="00CF43C8" w:rsidP="00CF43C8">
      <w:pPr>
        <w:rPr>
          <w:color w:val="FF0000"/>
          <w:lang w:val="en-US"/>
        </w:rPr>
      </w:pPr>
      <w:r w:rsidRPr="00CF43C8">
        <w:rPr>
          <w:color w:val="FF0000"/>
          <w:lang w:val="en-US"/>
        </w:rPr>
        <w:t>Author response: Thank you. Revised as recommended.</w:t>
      </w:r>
    </w:p>
    <w:p w14:paraId="5676040B" w14:textId="77777777" w:rsidR="00CF43C8" w:rsidRPr="00CF43C8" w:rsidRDefault="00CF43C8" w:rsidP="00CF43C8">
      <w:pPr>
        <w:rPr>
          <w:color w:val="0070C0"/>
          <w:lang w:val="en-US"/>
        </w:rPr>
      </w:pPr>
    </w:p>
    <w:p w14:paraId="0B3ADC06" w14:textId="77777777" w:rsidR="00932550" w:rsidRPr="000C241E" w:rsidRDefault="00D34F6A" w:rsidP="000C241E">
      <w:pPr>
        <w:pStyle w:val="ListParagraph"/>
        <w:numPr>
          <w:ilvl w:val="0"/>
          <w:numId w:val="16"/>
        </w:numPr>
        <w:rPr>
          <w:color w:val="0070C0"/>
          <w:lang w:val="en-US"/>
        </w:rPr>
      </w:pPr>
      <w:r w:rsidRPr="000C241E">
        <w:rPr>
          <w:lang w:val="en-US"/>
        </w:rPr>
        <w:t xml:space="preserve">Direct measurement of ROS: </w:t>
      </w:r>
      <w:r w:rsidRPr="000C241E">
        <w:rPr>
          <w:color w:val="0070C0"/>
          <w:lang w:val="en-US"/>
        </w:rPr>
        <w:t>Detection of ROS by chemiluminescence is also described in OECD TG 495 to assess phototoxic potential, which could be mentioned here as well.</w:t>
      </w:r>
    </w:p>
    <w:p w14:paraId="55DDA8EC" w14:textId="0BACF9FA" w:rsidR="00D0408E" w:rsidRPr="00D0408E" w:rsidRDefault="00D0408E" w:rsidP="00D0408E">
      <w:pPr>
        <w:rPr>
          <w:color w:val="FF0000"/>
          <w:lang w:val="en-US"/>
        </w:rPr>
      </w:pPr>
      <w:r w:rsidRPr="00D0408E">
        <w:rPr>
          <w:color w:val="FF0000"/>
          <w:lang w:val="en-US"/>
        </w:rPr>
        <w:t>Author response: Thank you. This OECD TG and its reference has been added.</w:t>
      </w:r>
    </w:p>
    <w:p w14:paraId="5292894F" w14:textId="77777777" w:rsidR="00CF43C8" w:rsidRDefault="00CF43C8" w:rsidP="00134A38">
      <w:pPr>
        <w:rPr>
          <w:color w:val="0070C0"/>
          <w:lang w:val="en-US"/>
        </w:rPr>
      </w:pPr>
    </w:p>
    <w:p w14:paraId="5F57F9B7" w14:textId="77777777" w:rsidR="00932550" w:rsidRPr="00932550" w:rsidRDefault="00932550" w:rsidP="00134A38">
      <w:pPr>
        <w:rPr>
          <w:b/>
          <w:bCs/>
          <w:lang w:val="en-US"/>
        </w:rPr>
      </w:pPr>
      <w:r w:rsidRPr="00932550">
        <w:rPr>
          <w:b/>
          <w:bCs/>
          <w:lang w:val="en-US"/>
        </w:rPr>
        <w:t>p. 27</w:t>
      </w:r>
    </w:p>
    <w:p w14:paraId="4D13D731" w14:textId="77777777" w:rsidR="00932550" w:rsidRPr="00E3644D" w:rsidRDefault="00932550" w:rsidP="00E3644D">
      <w:pPr>
        <w:pStyle w:val="ListParagraph"/>
        <w:numPr>
          <w:ilvl w:val="0"/>
          <w:numId w:val="15"/>
        </w:numPr>
        <w:rPr>
          <w:bCs/>
          <w:color w:val="0070C0"/>
          <w:lang w:val="en-US"/>
        </w:rPr>
      </w:pPr>
      <w:r w:rsidRPr="00E3644D">
        <w:rPr>
          <w:bCs/>
          <w:lang w:val="en-US"/>
        </w:rPr>
        <w:t>Assay for Nrf2 activity include:</w:t>
      </w:r>
      <w:r w:rsidRPr="00E3644D">
        <w:rPr>
          <w:bCs/>
          <w:color w:val="0070C0"/>
          <w:lang w:val="en-US"/>
        </w:rPr>
        <w:t xml:space="preserve"> ARE-Nrf2 Luciferase Test Methods are described in OECD TG 442D to assess skin sensitization potential which could be mentioned here as well.</w:t>
      </w:r>
    </w:p>
    <w:p w14:paraId="19E106C2" w14:textId="77777777" w:rsidR="00D0408E" w:rsidRPr="00D0408E" w:rsidRDefault="00E3644D" w:rsidP="00D0408E">
      <w:pPr>
        <w:pStyle w:val="ListParagraph"/>
        <w:numPr>
          <w:ilvl w:val="0"/>
          <w:numId w:val="15"/>
        </w:numPr>
        <w:rPr>
          <w:bCs/>
          <w:lang w:val="en-US"/>
        </w:rPr>
      </w:pPr>
      <w:r w:rsidRPr="00E3644D">
        <w:rPr>
          <w:bCs/>
          <w:lang w:val="en-US"/>
        </w:rPr>
        <w:t xml:space="preserve">using a commercially available </w:t>
      </w:r>
      <w:r>
        <w:rPr>
          <w:b/>
          <w:bCs/>
          <w:lang w:val="en-US"/>
        </w:rPr>
        <w:t xml:space="preserve">colorimetric or fluorescent </w:t>
      </w:r>
      <w:r w:rsidRPr="00E3644D">
        <w:rPr>
          <w:bCs/>
          <w:lang w:val="en-US"/>
        </w:rPr>
        <w:t xml:space="preserve">kit (e.g., </w:t>
      </w:r>
      <w:hyperlink r:id="rId7" w:history="1">
        <w:r w:rsidRPr="00AA756B">
          <w:rPr>
            <w:rStyle w:val="Hyperlink"/>
            <w:bCs/>
            <w:lang w:val="en-US"/>
          </w:rPr>
          <w:t>http://www.abcam.com/gshgssg-ratio-detection-assay-kitfluorometric-green-ab138881.html</w:t>
        </w:r>
      </w:hyperlink>
      <w:r w:rsidRPr="00E3644D">
        <w:rPr>
          <w:bCs/>
          <w:lang w:val="en-US"/>
        </w:rPr>
        <w:t>)</w:t>
      </w:r>
      <w:r>
        <w:rPr>
          <w:bCs/>
          <w:lang w:val="en-US"/>
        </w:rPr>
        <w:t xml:space="preserve"> – </w:t>
      </w:r>
      <w:r>
        <w:rPr>
          <w:bCs/>
          <w:color w:val="4F81BD" w:themeColor="accent1"/>
          <w:lang w:val="en-US"/>
        </w:rPr>
        <w:t>the link doesn’t work; since there are different providers, it is suggested not to add a link here</w:t>
      </w:r>
    </w:p>
    <w:p w14:paraId="48F6138D" w14:textId="69FFEAD6" w:rsidR="00D0408E" w:rsidRPr="00D0408E" w:rsidRDefault="00D0408E" w:rsidP="00D0408E">
      <w:pPr>
        <w:rPr>
          <w:bCs/>
          <w:lang w:val="en-US"/>
        </w:rPr>
      </w:pPr>
      <w:r w:rsidRPr="00D0408E">
        <w:rPr>
          <w:color w:val="FF0000"/>
          <w:lang w:val="en-US"/>
        </w:rPr>
        <w:t>Author response: Thank you. This OECD TG and its reference has been added.</w:t>
      </w:r>
    </w:p>
    <w:p w14:paraId="061E0996" w14:textId="77777777" w:rsidR="00932550" w:rsidRDefault="00932550" w:rsidP="00134A38">
      <w:pPr>
        <w:rPr>
          <w:color w:val="0070C0"/>
          <w:lang w:val="en-US"/>
        </w:rPr>
      </w:pPr>
    </w:p>
    <w:p w14:paraId="49627FA1" w14:textId="77777777" w:rsidR="00FE52B0" w:rsidRPr="00FE52B0" w:rsidRDefault="00FE52B0" w:rsidP="00134A38">
      <w:pPr>
        <w:rPr>
          <w:b/>
          <w:lang w:val="en-US"/>
        </w:rPr>
      </w:pPr>
      <w:r w:rsidRPr="00FE52B0">
        <w:rPr>
          <w:b/>
          <w:lang w:val="en-US"/>
        </w:rPr>
        <w:t>p. 29</w:t>
      </w:r>
    </w:p>
    <w:p w14:paraId="62C72FE8" w14:textId="77777777" w:rsidR="00FE52B0" w:rsidRPr="000339CC" w:rsidRDefault="00FE52B0" w:rsidP="000339CC">
      <w:pPr>
        <w:pStyle w:val="ListParagraph"/>
        <w:numPr>
          <w:ilvl w:val="0"/>
          <w:numId w:val="17"/>
        </w:numPr>
        <w:rPr>
          <w:lang w:val="en-US"/>
        </w:rPr>
      </w:pPr>
      <w:r w:rsidRPr="000339CC">
        <w:rPr>
          <w:b/>
          <w:lang w:val="en-US"/>
        </w:rPr>
        <w:t xml:space="preserve">Tumor necrosis factor receptors </w:t>
      </w:r>
      <w:r w:rsidRPr="000339CC">
        <w:rPr>
          <w:lang w:val="en-US"/>
        </w:rPr>
        <w:t>(TNFR)</w:t>
      </w:r>
    </w:p>
    <w:p w14:paraId="0E85D11E" w14:textId="77777777" w:rsidR="000339CC" w:rsidRDefault="000339CC" w:rsidP="000339CC">
      <w:pPr>
        <w:pStyle w:val="ListParagraph"/>
        <w:numPr>
          <w:ilvl w:val="0"/>
          <w:numId w:val="17"/>
        </w:numPr>
        <w:rPr>
          <w:lang w:val="en-US"/>
        </w:rPr>
      </w:pPr>
      <w:r w:rsidRPr="000339CC">
        <w:rPr>
          <w:b/>
          <w:lang w:val="en-US"/>
        </w:rPr>
        <w:t>Bcl-2-associated X protein</w:t>
      </w:r>
      <w:r w:rsidRPr="000339CC">
        <w:rPr>
          <w:lang w:val="en-US"/>
        </w:rPr>
        <w:t xml:space="preserve"> (</w:t>
      </w:r>
      <w:proofErr w:type="spellStart"/>
      <w:r w:rsidRPr="000339CC">
        <w:rPr>
          <w:lang w:val="en-US"/>
        </w:rPr>
        <w:t>Bax</w:t>
      </w:r>
      <w:proofErr w:type="spellEnd"/>
      <w:r w:rsidRPr="000339CC">
        <w:rPr>
          <w:lang w:val="en-US"/>
        </w:rPr>
        <w:t>) is recruited to the outer mitochondrial membrane</w:t>
      </w:r>
    </w:p>
    <w:p w14:paraId="3EB42CB6" w14:textId="77777777" w:rsidR="00ED3BBF" w:rsidRPr="000339CC" w:rsidRDefault="00ED3BBF" w:rsidP="00ED3BBF">
      <w:pPr>
        <w:pStyle w:val="ListParagraph"/>
        <w:numPr>
          <w:ilvl w:val="0"/>
          <w:numId w:val="17"/>
        </w:numPr>
        <w:rPr>
          <w:lang w:val="en-US"/>
        </w:rPr>
      </w:pPr>
      <w:r w:rsidRPr="00ED3BBF">
        <w:rPr>
          <w:b/>
          <w:lang w:val="en-US"/>
        </w:rPr>
        <w:t>Hematoxylin and eosin</w:t>
      </w:r>
      <w:r w:rsidRPr="00ED3BBF">
        <w:rPr>
          <w:lang w:val="en-US"/>
        </w:rPr>
        <w:t xml:space="preserve"> (H&amp;E)-stained liver sections</w:t>
      </w:r>
    </w:p>
    <w:p w14:paraId="522EA37D" w14:textId="4DA3B16F" w:rsidR="00D0408E" w:rsidRPr="00D0408E" w:rsidRDefault="00D0408E" w:rsidP="00D0408E">
      <w:pPr>
        <w:rPr>
          <w:bCs/>
          <w:lang w:val="en-US"/>
        </w:rPr>
      </w:pPr>
      <w:r w:rsidRPr="00D0408E">
        <w:rPr>
          <w:color w:val="FF0000"/>
          <w:lang w:val="en-US"/>
        </w:rPr>
        <w:t xml:space="preserve">Author response: Thank you. </w:t>
      </w:r>
      <w:r>
        <w:rPr>
          <w:color w:val="FF0000"/>
          <w:lang w:val="en-US"/>
        </w:rPr>
        <w:t>These acronyms have now been spelled out</w:t>
      </w:r>
      <w:r w:rsidRPr="00D0408E">
        <w:rPr>
          <w:color w:val="FF0000"/>
          <w:lang w:val="en-US"/>
        </w:rPr>
        <w:t>.</w:t>
      </w:r>
    </w:p>
    <w:p w14:paraId="21242087" w14:textId="77777777" w:rsidR="00FE52B0" w:rsidRDefault="00FE52B0" w:rsidP="00134A38">
      <w:pPr>
        <w:rPr>
          <w:b/>
          <w:lang w:val="en-US"/>
        </w:rPr>
      </w:pPr>
    </w:p>
    <w:p w14:paraId="0200AFCA" w14:textId="77777777" w:rsidR="00ED3BBF" w:rsidRDefault="001605C8" w:rsidP="00134A38">
      <w:pPr>
        <w:rPr>
          <w:b/>
          <w:lang w:val="en-US"/>
        </w:rPr>
      </w:pPr>
      <w:r>
        <w:rPr>
          <w:b/>
          <w:lang w:val="en-US"/>
        </w:rPr>
        <w:t>p. 30</w:t>
      </w:r>
    </w:p>
    <w:p w14:paraId="6F649C91" w14:textId="565C0615" w:rsidR="001605C8" w:rsidRDefault="001605C8" w:rsidP="00134A38">
      <w:pPr>
        <w:rPr>
          <w:color w:val="4F81BD" w:themeColor="accent1"/>
          <w:lang w:val="en-US"/>
        </w:rPr>
      </w:pPr>
      <w:r w:rsidRPr="001605C8">
        <w:rPr>
          <w:lang w:val="en-US"/>
        </w:rPr>
        <w:lastRenderedPageBreak/>
        <w:t>LDH leakage is a measure of necrotic cell death</w:t>
      </w:r>
      <w:r>
        <w:rPr>
          <w:lang w:val="en-US"/>
        </w:rPr>
        <w:t xml:space="preserve"> </w:t>
      </w:r>
      <w:r w:rsidRPr="001605C8">
        <w:rPr>
          <w:b/>
          <w:lang w:val="en-US"/>
        </w:rPr>
        <w:t>which can be detected using a colorimetric absorbance assay based on MTT reduction</w:t>
      </w:r>
      <w:r w:rsidRPr="001605C8">
        <w:rPr>
          <w:lang w:val="en-US"/>
        </w:rPr>
        <w:t xml:space="preserve">. </w:t>
      </w:r>
      <w:r w:rsidRPr="001605C8">
        <w:rPr>
          <w:b/>
          <w:strike/>
          <w:lang w:val="en-US"/>
        </w:rPr>
        <w:t>Method described here:</w:t>
      </w:r>
      <w:r w:rsidR="005B2329" w:rsidRPr="005B2329">
        <w:rPr>
          <w:b/>
          <w:lang w:val="en-US"/>
        </w:rPr>
        <w:t xml:space="preserve">  </w:t>
      </w:r>
      <w:r w:rsidR="005B2329" w:rsidRPr="005B2329">
        <w:rPr>
          <w:lang w:val="en-US"/>
        </w:rPr>
        <w:t xml:space="preserve">- </w:t>
      </w:r>
      <w:r w:rsidR="005B2329" w:rsidRPr="005B2329">
        <w:rPr>
          <w:color w:val="4F81BD" w:themeColor="accent1"/>
          <w:lang w:val="en-US"/>
        </w:rPr>
        <w:t>This statement might better fit to the next paragraph (in vitro or in vivo)</w:t>
      </w:r>
    </w:p>
    <w:p w14:paraId="17BC92D1" w14:textId="77777777" w:rsidR="00942D82" w:rsidRPr="00CF43C8" w:rsidRDefault="00942D82" w:rsidP="00942D82">
      <w:pPr>
        <w:rPr>
          <w:color w:val="FF0000"/>
          <w:lang w:val="en-US"/>
        </w:rPr>
      </w:pPr>
      <w:r w:rsidRPr="00CF43C8">
        <w:rPr>
          <w:color w:val="FF0000"/>
          <w:lang w:val="en-US"/>
        </w:rPr>
        <w:t>Author response: Thank you. Revised as recommended.</w:t>
      </w:r>
    </w:p>
    <w:p w14:paraId="236234D0" w14:textId="77777777" w:rsidR="00942D82" w:rsidRDefault="00942D82" w:rsidP="00134A38">
      <w:pPr>
        <w:rPr>
          <w:color w:val="4F81BD" w:themeColor="accent1"/>
          <w:lang w:val="en-US"/>
        </w:rPr>
      </w:pPr>
    </w:p>
    <w:p w14:paraId="01D74BC3" w14:textId="3D0622B7" w:rsidR="00857328" w:rsidRDefault="00857328" w:rsidP="00134A38">
      <w:pPr>
        <w:rPr>
          <w:color w:val="4F81BD" w:themeColor="accent1"/>
          <w:lang w:val="en-US"/>
        </w:rPr>
      </w:pPr>
      <w:r w:rsidRPr="00857328">
        <w:rPr>
          <w:lang w:val="en-US"/>
        </w:rPr>
        <w:t>The TUNEL assay</w:t>
      </w:r>
      <w:r>
        <w:rPr>
          <w:lang w:val="en-US"/>
        </w:rPr>
        <w:t xml:space="preserve">: </w:t>
      </w:r>
      <w:r w:rsidRPr="00857328">
        <w:rPr>
          <w:color w:val="4F81BD" w:themeColor="accent1"/>
          <w:lang w:val="en-US"/>
        </w:rPr>
        <w:t xml:space="preserve">maybe an explanation similar to AOP17 could be added here (The assay relies on the presence of nicks in the DNA which can be identified by terminal deoxynucleotidyl transferase or </w:t>
      </w:r>
      <w:proofErr w:type="spellStart"/>
      <w:r w:rsidRPr="00857328">
        <w:rPr>
          <w:color w:val="4F81BD" w:themeColor="accent1"/>
          <w:lang w:val="en-US"/>
        </w:rPr>
        <w:t>TdT</w:t>
      </w:r>
      <w:proofErr w:type="spellEnd"/>
      <w:r w:rsidRPr="00857328">
        <w:rPr>
          <w:color w:val="4F81BD" w:themeColor="accent1"/>
          <w:lang w:val="en-US"/>
        </w:rPr>
        <w:t xml:space="preserve">, an enzyme that will catalyze the addition of </w:t>
      </w:r>
      <w:proofErr w:type="spellStart"/>
      <w:r w:rsidRPr="00857328">
        <w:rPr>
          <w:color w:val="4F81BD" w:themeColor="accent1"/>
          <w:lang w:val="en-US"/>
        </w:rPr>
        <w:t>dUTPs</w:t>
      </w:r>
      <w:proofErr w:type="spellEnd"/>
      <w:r w:rsidRPr="00857328">
        <w:rPr>
          <w:color w:val="4F81BD" w:themeColor="accent1"/>
          <w:lang w:val="en-US"/>
        </w:rPr>
        <w:t xml:space="preserve"> that are secondarily labeled with a marker)</w:t>
      </w:r>
    </w:p>
    <w:p w14:paraId="405A0EDC" w14:textId="59A504E0" w:rsidR="00942D82" w:rsidRPr="00CF43C8" w:rsidRDefault="00942D82" w:rsidP="00942D82">
      <w:pPr>
        <w:rPr>
          <w:color w:val="FF0000"/>
          <w:lang w:val="en-US"/>
        </w:rPr>
      </w:pPr>
      <w:r w:rsidRPr="00CF43C8">
        <w:rPr>
          <w:color w:val="FF0000"/>
          <w:lang w:val="en-US"/>
        </w:rPr>
        <w:t xml:space="preserve">Author response: </w:t>
      </w:r>
      <w:r>
        <w:rPr>
          <w:color w:val="FF0000"/>
          <w:lang w:val="en-US"/>
        </w:rPr>
        <w:t>We like this suggestion for additional explanation and have added a modified version of this to the KE</w:t>
      </w:r>
      <w:r w:rsidRPr="00CF43C8">
        <w:rPr>
          <w:color w:val="FF0000"/>
          <w:lang w:val="en-US"/>
        </w:rPr>
        <w:t>.</w:t>
      </w:r>
    </w:p>
    <w:p w14:paraId="3B821D3B" w14:textId="77777777" w:rsidR="00857328" w:rsidRDefault="00857328" w:rsidP="00134A38">
      <w:pPr>
        <w:rPr>
          <w:color w:val="4F81BD" w:themeColor="accent1"/>
          <w:lang w:val="en-US"/>
        </w:rPr>
      </w:pPr>
    </w:p>
    <w:p w14:paraId="09A82C6B" w14:textId="77777777" w:rsidR="0039241E" w:rsidRPr="005C22FB" w:rsidRDefault="0039241E" w:rsidP="00134A38">
      <w:pPr>
        <w:rPr>
          <w:b/>
          <w:lang w:val="en-US"/>
        </w:rPr>
      </w:pPr>
      <w:r w:rsidRPr="005C22FB">
        <w:rPr>
          <w:b/>
          <w:lang w:val="en-US"/>
        </w:rPr>
        <w:t>p. 33</w:t>
      </w:r>
    </w:p>
    <w:p w14:paraId="13BCB008" w14:textId="77777777" w:rsidR="0039241E" w:rsidRPr="0065631B" w:rsidRDefault="005C22FB" w:rsidP="0065631B">
      <w:pPr>
        <w:pStyle w:val="ListParagraph"/>
        <w:numPr>
          <w:ilvl w:val="0"/>
          <w:numId w:val="21"/>
        </w:numPr>
        <w:rPr>
          <w:lang w:val="en-US"/>
        </w:rPr>
      </w:pPr>
      <w:r w:rsidRPr="0065631B">
        <w:rPr>
          <w:lang w:val="en-US"/>
        </w:rPr>
        <w:t xml:space="preserve">The long </w:t>
      </w:r>
      <w:r w:rsidRPr="0065631B">
        <w:rPr>
          <w:b/>
          <w:lang w:val="en-US"/>
        </w:rPr>
        <w:t>WNT Signaling Pathway Activating</w:t>
      </w:r>
      <w:r w:rsidRPr="0065631B">
        <w:rPr>
          <w:lang w:val="en-US"/>
        </w:rPr>
        <w:t xml:space="preserve"> noncoding RNA (WSPAR)</w:t>
      </w:r>
    </w:p>
    <w:p w14:paraId="48B9EE5C" w14:textId="77777777" w:rsidR="000F391A" w:rsidRPr="0065631B" w:rsidRDefault="00F442FF" w:rsidP="0065631B">
      <w:pPr>
        <w:pStyle w:val="ListParagraph"/>
        <w:numPr>
          <w:ilvl w:val="0"/>
          <w:numId w:val="21"/>
        </w:numPr>
        <w:rPr>
          <w:lang w:val="en-US"/>
        </w:rPr>
      </w:pPr>
      <w:r w:rsidRPr="0065631B">
        <w:rPr>
          <w:lang w:val="en-US"/>
        </w:rPr>
        <w:t xml:space="preserve">How it is measured or detected? </w:t>
      </w:r>
      <w:r w:rsidRPr="0065631B">
        <w:rPr>
          <w:color w:val="0070C0"/>
          <w:lang w:val="en-US"/>
        </w:rPr>
        <w:t xml:space="preserve">A </w:t>
      </w:r>
      <w:proofErr w:type="spellStart"/>
      <w:r w:rsidRPr="0065631B">
        <w:rPr>
          <w:color w:val="0070C0"/>
          <w:lang w:val="en-US"/>
        </w:rPr>
        <w:t>BrdU</w:t>
      </w:r>
      <w:proofErr w:type="spellEnd"/>
      <w:r w:rsidRPr="0065631B">
        <w:rPr>
          <w:color w:val="0070C0"/>
          <w:lang w:val="en-US"/>
        </w:rPr>
        <w:t xml:space="preserve">-ELISA in vivo test method </w:t>
      </w:r>
      <w:r w:rsidR="0065631B" w:rsidRPr="0065631B">
        <w:rPr>
          <w:color w:val="0070C0"/>
          <w:lang w:val="en-US"/>
        </w:rPr>
        <w:t xml:space="preserve">is described in OECD TG 442B (LLNA for skin </w:t>
      </w:r>
      <w:proofErr w:type="spellStart"/>
      <w:r w:rsidR="0065631B" w:rsidRPr="0065631B">
        <w:rPr>
          <w:color w:val="0070C0"/>
          <w:lang w:val="en-US"/>
        </w:rPr>
        <w:t>sensitiaation</w:t>
      </w:r>
      <w:proofErr w:type="spellEnd"/>
      <w:r w:rsidR="0065631B" w:rsidRPr="0065631B">
        <w:rPr>
          <w:color w:val="0070C0"/>
          <w:lang w:val="en-US"/>
        </w:rPr>
        <w:t>) which could be referenced here.</w:t>
      </w:r>
    </w:p>
    <w:p w14:paraId="34A766DB" w14:textId="5C04D9AF" w:rsidR="00942D82" w:rsidRPr="00942D82" w:rsidRDefault="00942D82" w:rsidP="00942D82">
      <w:pPr>
        <w:rPr>
          <w:bCs/>
          <w:lang w:val="en-US"/>
        </w:rPr>
      </w:pPr>
      <w:r w:rsidRPr="00942D82">
        <w:rPr>
          <w:color w:val="FF0000"/>
          <w:lang w:val="en-US"/>
        </w:rPr>
        <w:t>Author response: Thank you. Th</w:t>
      </w:r>
      <w:r>
        <w:rPr>
          <w:color w:val="FF0000"/>
          <w:lang w:val="en-US"/>
        </w:rPr>
        <w:t xml:space="preserve">e </w:t>
      </w:r>
      <w:r w:rsidR="00C81B80">
        <w:rPr>
          <w:color w:val="FF0000"/>
          <w:lang w:val="en-US"/>
        </w:rPr>
        <w:t xml:space="preserve">acronym was spelled out and the </w:t>
      </w:r>
      <w:r w:rsidRPr="00942D82">
        <w:rPr>
          <w:color w:val="FF0000"/>
          <w:lang w:val="en-US"/>
        </w:rPr>
        <w:t>OECD TG and its reference has been added.</w:t>
      </w:r>
    </w:p>
    <w:p w14:paraId="1FFA15E4" w14:textId="77777777" w:rsidR="006A1F6B" w:rsidRPr="0065631B" w:rsidRDefault="006A1F6B" w:rsidP="00134A38">
      <w:pPr>
        <w:rPr>
          <w:lang w:val="en-US"/>
        </w:rPr>
      </w:pPr>
    </w:p>
    <w:p w14:paraId="582696D5" w14:textId="77777777" w:rsidR="006A1F6B" w:rsidRPr="00F442FF" w:rsidRDefault="006A1F6B" w:rsidP="00134A38">
      <w:pPr>
        <w:rPr>
          <w:b/>
        </w:rPr>
      </w:pPr>
      <w:r w:rsidRPr="00F442FF">
        <w:rPr>
          <w:b/>
        </w:rPr>
        <w:t>p. 37</w:t>
      </w:r>
    </w:p>
    <w:p w14:paraId="5B753C66" w14:textId="77777777" w:rsidR="006A1F6B" w:rsidRDefault="006A1F6B" w:rsidP="00134A38">
      <w:pPr>
        <w:rPr>
          <w:b/>
          <w:lang w:val="en-US"/>
        </w:rPr>
      </w:pPr>
      <w:r w:rsidRPr="006A1F6B">
        <w:rPr>
          <w:lang w:val="en-US"/>
        </w:rPr>
        <w:t>The standard assay for carcinogens is the two-year rodent bioassay</w:t>
      </w:r>
      <w:r>
        <w:rPr>
          <w:lang w:val="en-US"/>
        </w:rPr>
        <w:t xml:space="preserve"> </w:t>
      </w:r>
      <w:r>
        <w:rPr>
          <w:b/>
          <w:lang w:val="en-US"/>
        </w:rPr>
        <w:t>(OECD TG 451)</w:t>
      </w:r>
    </w:p>
    <w:p w14:paraId="3B9AF8C9" w14:textId="623A38D2" w:rsidR="000F391A" w:rsidRDefault="00C81B80" w:rsidP="00134A38">
      <w:pPr>
        <w:rPr>
          <w:color w:val="FF0000"/>
          <w:lang w:val="en-US"/>
        </w:rPr>
      </w:pPr>
      <w:r w:rsidRPr="00942D82">
        <w:rPr>
          <w:color w:val="FF0000"/>
          <w:lang w:val="en-US"/>
        </w:rPr>
        <w:t xml:space="preserve">Author response: </w:t>
      </w:r>
      <w:r>
        <w:rPr>
          <w:color w:val="FF0000"/>
          <w:lang w:val="en-US"/>
        </w:rPr>
        <w:t>Agree. This TG is the first assay listed in the first bullet of ‘how it is measured or detected’.</w:t>
      </w:r>
    </w:p>
    <w:p w14:paraId="6EA2BA16" w14:textId="77777777" w:rsidR="00C81B80" w:rsidRDefault="00C81B80" w:rsidP="00134A38">
      <w:pPr>
        <w:rPr>
          <w:b/>
          <w:lang w:val="en-US"/>
        </w:rPr>
      </w:pPr>
    </w:p>
    <w:p w14:paraId="434707CB" w14:textId="77777777" w:rsidR="00A97C0E" w:rsidRPr="00A97C0E" w:rsidRDefault="00A97C0E" w:rsidP="00134A38">
      <w:pPr>
        <w:rPr>
          <w:b/>
          <w:lang w:val="en-US"/>
        </w:rPr>
      </w:pPr>
      <w:r w:rsidRPr="00A97C0E">
        <w:rPr>
          <w:b/>
          <w:lang w:val="en-US"/>
        </w:rPr>
        <w:t>p. 38</w:t>
      </w:r>
    </w:p>
    <w:p w14:paraId="1702C93F" w14:textId="48B75F50" w:rsidR="000F391A" w:rsidRPr="00A97C0E" w:rsidRDefault="006F1B05" w:rsidP="00134A38">
      <w:pPr>
        <w:rPr>
          <w:lang w:val="en-US"/>
        </w:rPr>
      </w:pPr>
      <w:r w:rsidRPr="00A97C0E">
        <w:rPr>
          <w:lang w:val="en-US"/>
        </w:rPr>
        <w:t>Persistent oxidative stress also creates opportunities for oxidative damage to DNA, which is important because DNA damage is required for the initiation phase of carcinogenesis</w:t>
      </w:r>
    </w:p>
    <w:p w14:paraId="60EF28D6" w14:textId="6D9D304B" w:rsidR="00A97C0E" w:rsidRDefault="00A97C0E" w:rsidP="00134A38">
      <w:pPr>
        <w:rPr>
          <w:color w:val="0070C0"/>
          <w:lang w:val="en-US"/>
        </w:rPr>
      </w:pPr>
      <w:r>
        <w:rPr>
          <w:color w:val="0070C0"/>
          <w:lang w:val="en-US"/>
        </w:rPr>
        <w:t xml:space="preserve">However, non-genotoxic carcinogenesis occurs as well. </w:t>
      </w:r>
      <w:r w:rsidRPr="00A97C0E">
        <w:rPr>
          <w:color w:val="0070C0"/>
          <w:lang w:val="en-US"/>
        </w:rPr>
        <w:t>How is this in line with the proposed application of the AOP for non- or indirectly genotoxic compounds</w:t>
      </w:r>
      <w:r>
        <w:rPr>
          <w:color w:val="0070C0"/>
          <w:lang w:val="en-US"/>
        </w:rPr>
        <w:t>?</w:t>
      </w:r>
      <w:r w:rsidR="004B3280">
        <w:rPr>
          <w:color w:val="0070C0"/>
          <w:lang w:val="en-US"/>
        </w:rPr>
        <w:t xml:space="preserve"> A statement as given </w:t>
      </w:r>
      <w:r w:rsidR="00F35F5B">
        <w:rPr>
          <w:color w:val="0070C0"/>
          <w:lang w:val="en-US"/>
        </w:rPr>
        <w:t>on p. 47 could be added here as well.</w:t>
      </w:r>
    </w:p>
    <w:p w14:paraId="51FE875D" w14:textId="38B15F13" w:rsidR="006F1B05" w:rsidRDefault="00DD1065" w:rsidP="00134A38">
      <w:pPr>
        <w:rPr>
          <w:color w:val="FF0000"/>
          <w:lang w:val="en-US"/>
        </w:rPr>
      </w:pPr>
      <w:r w:rsidRPr="00DD1065">
        <w:rPr>
          <w:color w:val="FF0000"/>
          <w:lang w:val="en-US"/>
        </w:rPr>
        <w:t xml:space="preserve">Author response: </w:t>
      </w:r>
      <w:r w:rsidR="006A486C">
        <w:rPr>
          <w:color w:val="FF0000"/>
          <w:lang w:val="en-US"/>
        </w:rPr>
        <w:t xml:space="preserve">We agree. We have reviewed this KER and </w:t>
      </w:r>
      <w:r w:rsidR="00975B37">
        <w:rPr>
          <w:color w:val="FF0000"/>
          <w:lang w:val="en-US"/>
        </w:rPr>
        <w:t xml:space="preserve">decided to delete this statement. </w:t>
      </w:r>
      <w:r w:rsidR="008E6CA6">
        <w:rPr>
          <w:color w:val="FF0000"/>
          <w:lang w:val="en-US"/>
        </w:rPr>
        <w:t xml:space="preserve">This statement could be confusing because </w:t>
      </w:r>
      <w:r w:rsidR="006A486C">
        <w:rPr>
          <w:color w:val="FF0000"/>
          <w:lang w:val="en-US"/>
        </w:rPr>
        <w:t>this is the KER describing “</w:t>
      </w:r>
      <w:r w:rsidRPr="00DD1065">
        <w:rPr>
          <w:color w:val="FF0000"/>
          <w:lang w:val="en-US"/>
        </w:rPr>
        <w:t>CYP2E1 activation leading to oxidative stress</w:t>
      </w:r>
      <w:r w:rsidR="006A486C">
        <w:rPr>
          <w:color w:val="FF0000"/>
          <w:lang w:val="en-US"/>
        </w:rPr>
        <w:t>”</w:t>
      </w:r>
      <w:r w:rsidR="008E6CA6">
        <w:rPr>
          <w:color w:val="FF0000"/>
          <w:lang w:val="en-US"/>
        </w:rPr>
        <w:t>. Thus,</w:t>
      </w:r>
      <w:r w:rsidR="006A486C">
        <w:rPr>
          <w:color w:val="FF0000"/>
          <w:lang w:val="en-US"/>
        </w:rPr>
        <w:t xml:space="preserve"> we do not want to make any further statements about the downstream effects of oxidative stress </w:t>
      </w:r>
      <w:r w:rsidR="008E6CA6">
        <w:rPr>
          <w:color w:val="FF0000"/>
          <w:lang w:val="en-US"/>
        </w:rPr>
        <w:t>(</w:t>
      </w:r>
      <w:r w:rsidRPr="00DD1065">
        <w:rPr>
          <w:color w:val="FF0000"/>
          <w:lang w:val="en-US"/>
        </w:rPr>
        <w:t xml:space="preserve">following the </w:t>
      </w:r>
      <w:r w:rsidR="008E6CA6">
        <w:rPr>
          <w:color w:val="FF0000"/>
          <w:lang w:val="en-US"/>
        </w:rPr>
        <w:t>conventions</w:t>
      </w:r>
      <w:r w:rsidRPr="00DD1065">
        <w:rPr>
          <w:color w:val="FF0000"/>
          <w:lang w:val="en-US"/>
        </w:rPr>
        <w:t xml:space="preserve"> of building AOPs </w:t>
      </w:r>
      <w:r w:rsidR="008E6CA6">
        <w:rPr>
          <w:color w:val="FF0000"/>
          <w:lang w:val="en-US"/>
        </w:rPr>
        <w:t>– specifically,</w:t>
      </w:r>
      <w:r w:rsidR="008E6CA6" w:rsidRPr="00DD1065">
        <w:rPr>
          <w:color w:val="FF0000"/>
          <w:lang w:val="en-US"/>
        </w:rPr>
        <w:t xml:space="preserve"> </w:t>
      </w:r>
      <w:r w:rsidRPr="00DD1065">
        <w:rPr>
          <w:color w:val="FF0000"/>
          <w:lang w:val="en-US"/>
        </w:rPr>
        <w:t>the need to maintain modularity</w:t>
      </w:r>
      <w:r w:rsidR="006A486C">
        <w:rPr>
          <w:color w:val="FF0000"/>
          <w:lang w:val="en-US"/>
        </w:rPr>
        <w:t xml:space="preserve">). </w:t>
      </w:r>
    </w:p>
    <w:p w14:paraId="66209254" w14:textId="77777777" w:rsidR="006A486C" w:rsidRDefault="006A486C" w:rsidP="00134A38">
      <w:pPr>
        <w:rPr>
          <w:lang w:val="en-US"/>
        </w:rPr>
      </w:pPr>
    </w:p>
    <w:p w14:paraId="2C9BCAA9" w14:textId="77777777" w:rsidR="006F1B05" w:rsidRPr="00DA3A36" w:rsidRDefault="00DA3A36" w:rsidP="00134A38">
      <w:pPr>
        <w:rPr>
          <w:b/>
          <w:lang w:val="en-US"/>
        </w:rPr>
      </w:pPr>
      <w:r w:rsidRPr="00DA3A36">
        <w:rPr>
          <w:b/>
          <w:lang w:val="en-US"/>
        </w:rPr>
        <w:t>p. 39</w:t>
      </w:r>
    </w:p>
    <w:p w14:paraId="6FBA80FF" w14:textId="77777777" w:rsidR="00DA3A36" w:rsidRDefault="00DA3A36" w:rsidP="00134A38">
      <w:pPr>
        <w:rPr>
          <w:color w:val="0070C0"/>
          <w:lang w:val="en-US"/>
        </w:rPr>
      </w:pPr>
      <w:r w:rsidRPr="00DA3A36">
        <w:rPr>
          <w:lang w:val="en-US"/>
        </w:rPr>
        <w:t>Cyp2E1 protein levels increase when its substrate is present in a tissue</w:t>
      </w:r>
      <w:r>
        <w:rPr>
          <w:lang w:val="en-US"/>
        </w:rPr>
        <w:t xml:space="preserve"> </w:t>
      </w:r>
      <w:r w:rsidRPr="00DA3A36">
        <w:rPr>
          <w:color w:val="0070C0"/>
          <w:lang w:val="en-US"/>
        </w:rPr>
        <w:t>-&gt; when its s</w:t>
      </w:r>
      <w:r>
        <w:rPr>
          <w:color w:val="0070C0"/>
          <w:lang w:val="en-US"/>
        </w:rPr>
        <w:t>ubstrates are present in a tissue</w:t>
      </w:r>
    </w:p>
    <w:p w14:paraId="09BF3822" w14:textId="77777777" w:rsidR="009D4D71" w:rsidRPr="00C81B80" w:rsidRDefault="009D4D71" w:rsidP="009D4D71">
      <w:pPr>
        <w:rPr>
          <w:color w:val="FF0000"/>
          <w:lang w:val="en-US"/>
        </w:rPr>
      </w:pPr>
      <w:r w:rsidRPr="00C81B80">
        <w:rPr>
          <w:color w:val="FF0000"/>
          <w:lang w:val="en-US"/>
        </w:rPr>
        <w:t>Author response: Thank you. Revised as recommended.</w:t>
      </w:r>
    </w:p>
    <w:p w14:paraId="60F39B0A" w14:textId="77777777" w:rsidR="00976151" w:rsidRDefault="00976151" w:rsidP="00134A38">
      <w:pPr>
        <w:rPr>
          <w:color w:val="0070C0"/>
          <w:lang w:val="en-US"/>
        </w:rPr>
      </w:pPr>
    </w:p>
    <w:p w14:paraId="7C8FB7C1" w14:textId="77777777" w:rsidR="00976151" w:rsidRPr="00976151" w:rsidRDefault="00976151" w:rsidP="00134A38">
      <w:pPr>
        <w:rPr>
          <w:b/>
          <w:lang w:val="en-US"/>
        </w:rPr>
      </w:pPr>
      <w:r w:rsidRPr="00976151">
        <w:rPr>
          <w:b/>
          <w:lang w:val="en-US"/>
        </w:rPr>
        <w:t>p. 41</w:t>
      </w:r>
    </w:p>
    <w:p w14:paraId="3089613F" w14:textId="77777777" w:rsidR="00081B00" w:rsidRPr="000023A7" w:rsidRDefault="00081B00" w:rsidP="00081B00">
      <w:pPr>
        <w:pStyle w:val="ListParagraph"/>
        <w:numPr>
          <w:ilvl w:val="0"/>
          <w:numId w:val="18"/>
        </w:numPr>
        <w:rPr>
          <w:lang w:val="en-US"/>
        </w:rPr>
      </w:pPr>
      <w:r w:rsidRPr="000023A7">
        <w:rPr>
          <w:lang w:val="en-US"/>
        </w:rPr>
        <w:t xml:space="preserve">The latter is a result of mitochondrial permeability transition (MPT). </w:t>
      </w:r>
      <w:r w:rsidRPr="000023A7">
        <w:rPr>
          <w:b/>
          <w:strike/>
          <w:lang w:val="en-US"/>
        </w:rPr>
        <w:t>The mitochondrial permeability transition (</w:t>
      </w:r>
      <w:r w:rsidRPr="000023A7">
        <w:rPr>
          <w:lang w:val="en-US"/>
        </w:rPr>
        <w:t>MPT</w:t>
      </w:r>
      <w:r w:rsidRPr="000023A7">
        <w:rPr>
          <w:b/>
          <w:strike/>
          <w:lang w:val="en-US"/>
        </w:rPr>
        <w:t xml:space="preserve">) </w:t>
      </w:r>
    </w:p>
    <w:p w14:paraId="21648ABA" w14:textId="77777777" w:rsidR="00976151" w:rsidRPr="000023A7" w:rsidRDefault="00976151" w:rsidP="00081B00">
      <w:pPr>
        <w:pStyle w:val="ListParagraph"/>
        <w:numPr>
          <w:ilvl w:val="0"/>
          <w:numId w:val="18"/>
        </w:numPr>
        <w:rPr>
          <w:b/>
          <w:lang w:val="en-US"/>
        </w:rPr>
      </w:pPr>
      <w:r w:rsidRPr="000023A7">
        <w:rPr>
          <w:lang w:val="en-US"/>
        </w:rPr>
        <w:t xml:space="preserve">It is an important cell death mechanism because it is sensitive to redox </w:t>
      </w:r>
      <w:r w:rsidRPr="000023A7">
        <w:rPr>
          <w:b/>
          <w:lang w:val="en-US"/>
        </w:rPr>
        <w:t>conditions</w:t>
      </w:r>
    </w:p>
    <w:p w14:paraId="7D894A19" w14:textId="77777777" w:rsidR="00C81B80" w:rsidRPr="00C81B80" w:rsidRDefault="00C81B80" w:rsidP="00C81B80">
      <w:pPr>
        <w:rPr>
          <w:color w:val="FF0000"/>
          <w:lang w:val="en-US"/>
        </w:rPr>
      </w:pPr>
      <w:r w:rsidRPr="00C81B80">
        <w:rPr>
          <w:color w:val="FF0000"/>
          <w:lang w:val="en-US"/>
        </w:rPr>
        <w:t>Author response: Thank you. Revised as recommended.</w:t>
      </w:r>
    </w:p>
    <w:p w14:paraId="292AB712" w14:textId="77777777" w:rsidR="002D148D" w:rsidRDefault="002D148D" w:rsidP="002D148D">
      <w:pPr>
        <w:rPr>
          <w:lang w:val="en-US"/>
        </w:rPr>
      </w:pPr>
    </w:p>
    <w:p w14:paraId="66BDFB8A" w14:textId="77777777" w:rsidR="0065631B" w:rsidRDefault="0065631B" w:rsidP="002D148D">
      <w:pPr>
        <w:rPr>
          <w:lang w:val="en-US"/>
        </w:rPr>
      </w:pPr>
    </w:p>
    <w:p w14:paraId="2167BA59" w14:textId="77777777" w:rsidR="002D148D" w:rsidRPr="002D148D" w:rsidRDefault="002D148D" w:rsidP="002D148D">
      <w:pPr>
        <w:rPr>
          <w:b/>
          <w:lang w:val="en-US"/>
        </w:rPr>
      </w:pPr>
      <w:r w:rsidRPr="002D148D">
        <w:rPr>
          <w:b/>
          <w:lang w:val="en-US"/>
        </w:rPr>
        <w:t>p. 42</w:t>
      </w:r>
    </w:p>
    <w:p w14:paraId="23649A50" w14:textId="77777777" w:rsidR="002D148D" w:rsidRDefault="002D148D" w:rsidP="002D148D">
      <w:pPr>
        <w:rPr>
          <w:lang w:val="en-US"/>
        </w:rPr>
      </w:pPr>
      <w:r w:rsidRPr="002D148D">
        <w:rPr>
          <w:lang w:val="en-US"/>
        </w:rPr>
        <w:t xml:space="preserve">In parallel, the major anti-oxidant enzymes catalase, SOD, </w:t>
      </w:r>
      <w:r w:rsidR="00880206">
        <w:rPr>
          <w:rStyle w:val="hgkelc"/>
          <w:b/>
          <w:lang w:val="en-US"/>
        </w:rPr>
        <w:t>glucose-6-phosphat-d</w:t>
      </w:r>
      <w:r w:rsidR="00880206" w:rsidRPr="00880206">
        <w:rPr>
          <w:rStyle w:val="hgkelc"/>
          <w:b/>
          <w:lang w:val="en-US"/>
        </w:rPr>
        <w:t>ehydrogenase</w:t>
      </w:r>
      <w:r w:rsidR="00880206" w:rsidRPr="002D148D">
        <w:rPr>
          <w:lang w:val="en-US"/>
        </w:rPr>
        <w:t xml:space="preserve"> </w:t>
      </w:r>
      <w:r w:rsidRPr="00880206">
        <w:rPr>
          <w:b/>
          <w:strike/>
          <w:lang w:val="en-US"/>
        </w:rPr>
        <w:t>G6PD</w:t>
      </w:r>
      <w:r w:rsidRPr="002D148D">
        <w:rPr>
          <w:lang w:val="en-US"/>
        </w:rPr>
        <w:t xml:space="preserve">, and </w:t>
      </w:r>
      <w:r w:rsidR="00880206" w:rsidRPr="00880206">
        <w:rPr>
          <w:b/>
          <w:lang w:val="en-US"/>
        </w:rPr>
        <w:t>glutathione peroxidase</w:t>
      </w:r>
      <w:r w:rsidR="00880206">
        <w:rPr>
          <w:lang w:val="en-US"/>
        </w:rPr>
        <w:t xml:space="preserve"> </w:t>
      </w:r>
      <w:proofErr w:type="spellStart"/>
      <w:r w:rsidRPr="00880206">
        <w:rPr>
          <w:b/>
          <w:strike/>
          <w:lang w:val="en-US"/>
        </w:rPr>
        <w:t>GPx</w:t>
      </w:r>
      <w:proofErr w:type="spellEnd"/>
      <w:r w:rsidRPr="002D148D">
        <w:rPr>
          <w:lang w:val="en-US"/>
        </w:rPr>
        <w:t xml:space="preserve"> are deactivated in a dose-dependent fashion that is concordant with declines in relative survival</w:t>
      </w:r>
    </w:p>
    <w:p w14:paraId="3F36F43F" w14:textId="77777777" w:rsidR="00C81B80" w:rsidRPr="00C81B80" w:rsidRDefault="00C81B80" w:rsidP="00C81B80">
      <w:pPr>
        <w:rPr>
          <w:color w:val="FF0000"/>
          <w:lang w:val="en-US"/>
        </w:rPr>
      </w:pPr>
      <w:r w:rsidRPr="00C81B80">
        <w:rPr>
          <w:color w:val="FF0000"/>
          <w:lang w:val="en-US"/>
        </w:rPr>
        <w:t>Author response: Thank you. Revised as recommended.</w:t>
      </w:r>
    </w:p>
    <w:p w14:paraId="6580A875" w14:textId="77777777" w:rsidR="002D148D" w:rsidRDefault="002D148D" w:rsidP="002D148D">
      <w:pPr>
        <w:rPr>
          <w:lang w:val="en-US"/>
        </w:rPr>
      </w:pPr>
    </w:p>
    <w:p w14:paraId="13CB6F97" w14:textId="77777777" w:rsidR="002D148D" w:rsidRPr="0023408E" w:rsidRDefault="0023408E" w:rsidP="002D148D">
      <w:pPr>
        <w:rPr>
          <w:b/>
          <w:lang w:val="en-US"/>
        </w:rPr>
      </w:pPr>
      <w:r w:rsidRPr="0023408E">
        <w:rPr>
          <w:b/>
          <w:lang w:val="en-US"/>
        </w:rPr>
        <w:lastRenderedPageBreak/>
        <w:t>p. 44</w:t>
      </w:r>
    </w:p>
    <w:p w14:paraId="7E84BA96" w14:textId="77777777" w:rsidR="0023408E" w:rsidRPr="00566A8C" w:rsidRDefault="0023408E" w:rsidP="00566A8C">
      <w:pPr>
        <w:pStyle w:val="ListParagraph"/>
        <w:numPr>
          <w:ilvl w:val="0"/>
          <w:numId w:val="19"/>
        </w:numPr>
        <w:rPr>
          <w:lang w:val="en-US"/>
        </w:rPr>
      </w:pPr>
      <w:r w:rsidRPr="00566A8C">
        <w:rPr>
          <w:lang w:val="en-US"/>
        </w:rPr>
        <w:t>Method</w:t>
      </w:r>
      <w:r w:rsidRPr="00566A8C">
        <w:rPr>
          <w:b/>
          <w:lang w:val="en-US"/>
        </w:rPr>
        <w:t>s</w:t>
      </w:r>
      <w:r w:rsidRPr="00566A8C">
        <w:rPr>
          <w:lang w:val="en-US"/>
        </w:rPr>
        <w:t xml:space="preserve"> for 2/3 partial hepatectomy have been described</w:t>
      </w:r>
    </w:p>
    <w:p w14:paraId="44F6F850" w14:textId="77777777" w:rsidR="0023408E" w:rsidRPr="00566A8C" w:rsidRDefault="00B94C26" w:rsidP="00566A8C">
      <w:pPr>
        <w:pStyle w:val="ListParagraph"/>
        <w:numPr>
          <w:ilvl w:val="0"/>
          <w:numId w:val="19"/>
        </w:numPr>
        <w:rPr>
          <w:b/>
          <w:lang w:val="en-US"/>
        </w:rPr>
      </w:pPr>
      <w:r w:rsidRPr="00566A8C">
        <w:rPr>
          <w:lang w:val="en-US"/>
        </w:rPr>
        <w:t>had serum AST levels of approximately</w:t>
      </w:r>
      <w:r w:rsidRPr="00566A8C">
        <w:rPr>
          <w:b/>
          <w:strike/>
          <w:lang w:val="en-US"/>
        </w:rPr>
        <w:t>:</w:t>
      </w:r>
      <w:r w:rsidRPr="00566A8C">
        <w:rPr>
          <w:lang w:val="en-US"/>
        </w:rPr>
        <w:t xml:space="preserve"> 500, 2250, 1900 and 500</w:t>
      </w:r>
      <w:r w:rsidR="006B7F48" w:rsidRPr="00566A8C">
        <w:rPr>
          <w:lang w:val="en-US"/>
        </w:rPr>
        <w:t xml:space="preserve"> </w:t>
      </w:r>
      <w:r w:rsidR="006B7F48" w:rsidRPr="00566A8C">
        <w:rPr>
          <w:b/>
          <w:lang w:val="en-US"/>
        </w:rPr>
        <w:t>IU/L serum</w:t>
      </w:r>
    </w:p>
    <w:p w14:paraId="3A44F6BE" w14:textId="77777777" w:rsidR="00C81B80" w:rsidRPr="00C81B80" w:rsidRDefault="00C81B80" w:rsidP="00C81B80">
      <w:pPr>
        <w:rPr>
          <w:color w:val="FF0000"/>
          <w:lang w:val="en-US"/>
        </w:rPr>
      </w:pPr>
      <w:r w:rsidRPr="00C81B80">
        <w:rPr>
          <w:color w:val="FF0000"/>
          <w:lang w:val="en-US"/>
        </w:rPr>
        <w:t>Author response: Thank you. Revised as recommended.</w:t>
      </w:r>
    </w:p>
    <w:p w14:paraId="282D4C3E" w14:textId="77777777" w:rsidR="00170BE9" w:rsidRDefault="00170BE9" w:rsidP="0023408E">
      <w:pPr>
        <w:rPr>
          <w:color w:val="FF0000"/>
          <w:lang w:val="en-US"/>
        </w:rPr>
      </w:pPr>
    </w:p>
    <w:p w14:paraId="6CD2BDD0" w14:textId="77777777" w:rsidR="00170BE9" w:rsidRPr="00243E2C" w:rsidRDefault="00170BE9" w:rsidP="0023408E">
      <w:pPr>
        <w:rPr>
          <w:b/>
          <w:lang w:val="en-US"/>
        </w:rPr>
      </w:pPr>
      <w:r w:rsidRPr="00243E2C">
        <w:rPr>
          <w:b/>
          <w:lang w:val="en-US"/>
        </w:rPr>
        <w:t>p. 49</w:t>
      </w:r>
    </w:p>
    <w:p w14:paraId="6BC8C5DA" w14:textId="77777777" w:rsidR="009D3517" w:rsidRDefault="00243E2C" w:rsidP="0023408E">
      <w:r w:rsidRPr="00243E2C">
        <w:rPr>
          <w:b/>
        </w:rPr>
        <w:t>8-Hydroxydesoxyguanosin</w:t>
      </w:r>
      <w:r w:rsidRPr="00243E2C">
        <w:t xml:space="preserve"> (8-OHdG)</w:t>
      </w:r>
    </w:p>
    <w:p w14:paraId="68696B40" w14:textId="77777777" w:rsidR="009F7FF5" w:rsidRPr="00C81B80" w:rsidRDefault="009F7FF5" w:rsidP="009F7FF5">
      <w:pPr>
        <w:rPr>
          <w:color w:val="FF0000"/>
          <w:lang w:val="en-US"/>
        </w:rPr>
      </w:pPr>
      <w:r w:rsidRPr="00C81B80">
        <w:rPr>
          <w:color w:val="FF0000"/>
          <w:lang w:val="en-US"/>
        </w:rPr>
        <w:t>Author response: Thank you. Revised as recommended.</w:t>
      </w:r>
    </w:p>
    <w:p w14:paraId="105B2E9D" w14:textId="77777777" w:rsidR="00B0793F" w:rsidRDefault="00B0793F" w:rsidP="0023408E"/>
    <w:p w14:paraId="1517FE9A" w14:textId="77777777" w:rsidR="00B0793F" w:rsidRPr="00B0793F" w:rsidRDefault="00B0793F" w:rsidP="0023408E">
      <w:pPr>
        <w:rPr>
          <w:b/>
          <w:lang w:val="en-US"/>
        </w:rPr>
      </w:pPr>
      <w:r w:rsidRPr="00B0793F">
        <w:rPr>
          <w:b/>
          <w:lang w:val="en-US"/>
        </w:rPr>
        <w:t>p. 50</w:t>
      </w:r>
    </w:p>
    <w:p w14:paraId="548F0AF3" w14:textId="77777777" w:rsidR="00B0793F" w:rsidRPr="000023A7" w:rsidRDefault="00B0793F" w:rsidP="000023A7">
      <w:pPr>
        <w:pStyle w:val="ListParagraph"/>
        <w:numPr>
          <w:ilvl w:val="0"/>
          <w:numId w:val="20"/>
        </w:numPr>
        <w:rPr>
          <w:lang w:val="en-US"/>
        </w:rPr>
      </w:pPr>
      <w:r w:rsidRPr="000023A7">
        <w:rPr>
          <w:lang w:val="en-US"/>
        </w:rPr>
        <w:t>By-products of lipid peroxidation (</w:t>
      </w:r>
      <w:r w:rsidRPr="000023A7">
        <w:rPr>
          <w:rStyle w:val="Emphasis"/>
          <w:b/>
          <w:i w:val="0"/>
          <w:lang w:val="en-US"/>
        </w:rPr>
        <w:t>Malondialdehyde</w:t>
      </w:r>
      <w:r w:rsidRPr="000023A7">
        <w:rPr>
          <w:lang w:val="en-US"/>
        </w:rPr>
        <w:t xml:space="preserve"> (MDA), </w:t>
      </w:r>
      <w:r w:rsidRPr="000023A7">
        <w:rPr>
          <w:b/>
          <w:lang w:val="en-US"/>
        </w:rPr>
        <w:t>4-Hydroxynonenal</w:t>
      </w:r>
      <w:r w:rsidRPr="000023A7">
        <w:rPr>
          <w:lang w:val="en-US"/>
        </w:rPr>
        <w:t xml:space="preserve"> </w:t>
      </w:r>
      <w:r w:rsidR="000323C8" w:rsidRPr="000023A7">
        <w:rPr>
          <w:lang w:val="en-US"/>
        </w:rPr>
        <w:t>(</w:t>
      </w:r>
      <w:r w:rsidRPr="000023A7">
        <w:rPr>
          <w:lang w:val="en-US"/>
        </w:rPr>
        <w:t>4-HNE)</w:t>
      </w:r>
      <w:r w:rsidR="000323C8" w:rsidRPr="000023A7">
        <w:rPr>
          <w:lang w:val="en-US"/>
        </w:rPr>
        <w:t>)</w:t>
      </w:r>
    </w:p>
    <w:p w14:paraId="0EA3DE2D" w14:textId="2F4469F1" w:rsidR="000023A7" w:rsidRPr="009F7FF5" w:rsidRDefault="000023A7" w:rsidP="000023A7">
      <w:pPr>
        <w:pStyle w:val="ListParagraph"/>
        <w:numPr>
          <w:ilvl w:val="0"/>
          <w:numId w:val="20"/>
        </w:numPr>
        <w:rPr>
          <w:b/>
          <w:lang w:val="en-US"/>
        </w:rPr>
      </w:pPr>
      <w:r w:rsidRPr="000023A7">
        <w:rPr>
          <w:b/>
          <w:lang w:val="en-US"/>
        </w:rPr>
        <w:t>base excision repair</w:t>
      </w:r>
      <w:r w:rsidRPr="000023A7">
        <w:rPr>
          <w:lang w:val="en-US"/>
        </w:rPr>
        <w:t xml:space="preserve"> (BER) genes in liver DNA</w:t>
      </w:r>
    </w:p>
    <w:p w14:paraId="6EA10768" w14:textId="6AB1715C" w:rsidR="009F7FF5" w:rsidRPr="009F7FF5" w:rsidRDefault="009F7FF5" w:rsidP="009F7FF5">
      <w:pPr>
        <w:rPr>
          <w:color w:val="FF0000"/>
          <w:lang w:val="en-US"/>
        </w:rPr>
      </w:pPr>
      <w:r w:rsidRPr="009F7FF5">
        <w:rPr>
          <w:color w:val="FF0000"/>
          <w:lang w:val="en-US"/>
        </w:rPr>
        <w:t>Author response: Thank you. Revised as recommended.</w:t>
      </w:r>
    </w:p>
    <w:sectPr w:rsidR="009F7FF5" w:rsidRPr="009F7FF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F0621" w14:textId="77777777" w:rsidR="00805614" w:rsidRDefault="00805614" w:rsidP="005C5D8B">
      <w:r>
        <w:separator/>
      </w:r>
    </w:p>
  </w:endnote>
  <w:endnote w:type="continuationSeparator" w:id="0">
    <w:p w14:paraId="04809BC9" w14:textId="77777777" w:rsidR="00805614" w:rsidRDefault="00805614" w:rsidP="005C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B337" w14:textId="77777777" w:rsidR="005C5D8B" w:rsidRDefault="005C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CB6F" w14:textId="77777777" w:rsidR="005C5D8B" w:rsidRDefault="005C5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EDB26" w14:textId="77777777" w:rsidR="005C5D8B" w:rsidRDefault="005C5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CE8E6" w14:textId="77777777" w:rsidR="00805614" w:rsidRDefault="00805614" w:rsidP="005C5D8B">
      <w:r>
        <w:separator/>
      </w:r>
    </w:p>
  </w:footnote>
  <w:footnote w:type="continuationSeparator" w:id="0">
    <w:p w14:paraId="5840DA1E" w14:textId="77777777" w:rsidR="00805614" w:rsidRDefault="00805614" w:rsidP="005C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075AF" w14:textId="77777777" w:rsidR="005C5D8B" w:rsidRDefault="005C5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50E0" w14:textId="77777777" w:rsidR="005C5D8B" w:rsidRDefault="005C5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DCCD" w14:textId="77777777" w:rsidR="005C5D8B" w:rsidRDefault="005C5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0ACB"/>
    <w:multiLevelType w:val="hybridMultilevel"/>
    <w:tmpl w:val="77FC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B96E14"/>
    <w:multiLevelType w:val="hybridMultilevel"/>
    <w:tmpl w:val="76C60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0014AF"/>
    <w:multiLevelType w:val="hybridMultilevel"/>
    <w:tmpl w:val="75D60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8F47B9"/>
    <w:multiLevelType w:val="hybridMultilevel"/>
    <w:tmpl w:val="8A041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512B17"/>
    <w:multiLevelType w:val="hybridMultilevel"/>
    <w:tmpl w:val="76D6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7A267A"/>
    <w:multiLevelType w:val="hybridMultilevel"/>
    <w:tmpl w:val="4E7AED10"/>
    <w:lvl w:ilvl="0" w:tplc="12A477A4">
      <w:start w:val="16"/>
      <w:numFmt w:val="bullet"/>
      <w:lvlText w:val=""/>
      <w:lvlJc w:val="left"/>
      <w:pPr>
        <w:ind w:left="1068" w:hanging="360"/>
      </w:pPr>
      <w:rPr>
        <w:rFonts w:ascii="Wingdings" w:eastAsiaTheme="minorHAnsi" w:hAnsi="Wingdings" w:cstheme="minorBidi"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BA80346"/>
    <w:multiLevelType w:val="hybridMultilevel"/>
    <w:tmpl w:val="75A83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6E3942"/>
    <w:multiLevelType w:val="hybridMultilevel"/>
    <w:tmpl w:val="C9E27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4012DC"/>
    <w:multiLevelType w:val="hybridMultilevel"/>
    <w:tmpl w:val="6B0ACB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064645"/>
    <w:multiLevelType w:val="hybridMultilevel"/>
    <w:tmpl w:val="ECE83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471472"/>
    <w:multiLevelType w:val="hybridMultilevel"/>
    <w:tmpl w:val="FDA67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F358A7"/>
    <w:multiLevelType w:val="hybridMultilevel"/>
    <w:tmpl w:val="9E548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2A1ACD"/>
    <w:multiLevelType w:val="hybridMultilevel"/>
    <w:tmpl w:val="00ECCB7E"/>
    <w:lvl w:ilvl="0" w:tplc="04070001">
      <w:start w:val="1"/>
      <w:numFmt w:val="bullet"/>
      <w:lvlText w:val=""/>
      <w:lvlJc w:val="left"/>
      <w:pPr>
        <w:ind w:left="720" w:hanging="360"/>
      </w:pPr>
      <w:rPr>
        <w:rFonts w:ascii="Symbol" w:hAnsi="Symbol" w:hint="default"/>
      </w:rPr>
    </w:lvl>
    <w:lvl w:ilvl="1" w:tplc="12A477A4">
      <w:start w:val="16"/>
      <w:numFmt w:val="bullet"/>
      <w:lvlText w:val=""/>
      <w:lvlJc w:val="left"/>
      <w:pPr>
        <w:ind w:left="1440" w:hanging="360"/>
      </w:pPr>
      <w:rPr>
        <w:rFonts w:ascii="Wingdings" w:eastAsiaTheme="minorHAnsi" w:hAnsi="Wingdings" w:cstheme="minorBidi"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AC79AA"/>
    <w:multiLevelType w:val="hybridMultilevel"/>
    <w:tmpl w:val="87B49182"/>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EB1C77"/>
    <w:multiLevelType w:val="hybridMultilevel"/>
    <w:tmpl w:val="8DD82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CE2312"/>
    <w:multiLevelType w:val="hybridMultilevel"/>
    <w:tmpl w:val="632E5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D94AE2"/>
    <w:multiLevelType w:val="hybridMultilevel"/>
    <w:tmpl w:val="01682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355630"/>
    <w:multiLevelType w:val="hybridMultilevel"/>
    <w:tmpl w:val="921CD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B43FD3"/>
    <w:multiLevelType w:val="hybridMultilevel"/>
    <w:tmpl w:val="A23EBC68"/>
    <w:lvl w:ilvl="0" w:tplc="12A477A4">
      <w:start w:val="16"/>
      <w:numFmt w:val="bullet"/>
      <w:lvlText w:val=""/>
      <w:lvlJc w:val="left"/>
      <w:pPr>
        <w:ind w:left="720" w:hanging="360"/>
      </w:pPr>
      <w:rPr>
        <w:rFonts w:ascii="Wingdings" w:eastAsiaTheme="minorHAnsi" w:hAnsi="Wingdings"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920917"/>
    <w:multiLevelType w:val="hybridMultilevel"/>
    <w:tmpl w:val="F0B86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513F14"/>
    <w:multiLevelType w:val="hybridMultilevel"/>
    <w:tmpl w:val="55425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5"/>
  </w:num>
  <w:num w:numId="4">
    <w:abstractNumId w:val="8"/>
  </w:num>
  <w:num w:numId="5">
    <w:abstractNumId w:val="5"/>
  </w:num>
  <w:num w:numId="6">
    <w:abstractNumId w:val="18"/>
  </w:num>
  <w:num w:numId="7">
    <w:abstractNumId w:val="13"/>
  </w:num>
  <w:num w:numId="8">
    <w:abstractNumId w:val="9"/>
  </w:num>
  <w:num w:numId="9">
    <w:abstractNumId w:val="2"/>
  </w:num>
  <w:num w:numId="10">
    <w:abstractNumId w:val="4"/>
  </w:num>
  <w:num w:numId="11">
    <w:abstractNumId w:val="17"/>
  </w:num>
  <w:num w:numId="12">
    <w:abstractNumId w:val="12"/>
  </w:num>
  <w:num w:numId="13">
    <w:abstractNumId w:val="10"/>
  </w:num>
  <w:num w:numId="14">
    <w:abstractNumId w:val="6"/>
  </w:num>
  <w:num w:numId="15">
    <w:abstractNumId w:val="0"/>
  </w:num>
  <w:num w:numId="16">
    <w:abstractNumId w:val="14"/>
  </w:num>
  <w:num w:numId="17">
    <w:abstractNumId w:val="1"/>
  </w:num>
  <w:num w:numId="18">
    <w:abstractNumId w:val="20"/>
  </w:num>
  <w:num w:numId="19">
    <w:abstractNumId w:val="11"/>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UniqueId" w:val="aa54e797-53ee-43aa-aafd-ce8c8b97f366"/>
  </w:docVars>
  <w:rsids>
    <w:rsidRoot w:val="00AF3FF5"/>
    <w:rsid w:val="000009AA"/>
    <w:rsid w:val="000023A7"/>
    <w:rsid w:val="00003A36"/>
    <w:rsid w:val="0000664E"/>
    <w:rsid w:val="00011A14"/>
    <w:rsid w:val="000206B0"/>
    <w:rsid w:val="000216D8"/>
    <w:rsid w:val="000253D2"/>
    <w:rsid w:val="000279DE"/>
    <w:rsid w:val="000304F6"/>
    <w:rsid w:val="0003197D"/>
    <w:rsid w:val="000323C8"/>
    <w:rsid w:val="000339CC"/>
    <w:rsid w:val="000379A5"/>
    <w:rsid w:val="00041192"/>
    <w:rsid w:val="00041A11"/>
    <w:rsid w:val="00044BB9"/>
    <w:rsid w:val="000512F9"/>
    <w:rsid w:val="0005398B"/>
    <w:rsid w:val="00053E86"/>
    <w:rsid w:val="0005708D"/>
    <w:rsid w:val="0005747D"/>
    <w:rsid w:val="0006226C"/>
    <w:rsid w:val="000632E2"/>
    <w:rsid w:val="0006660E"/>
    <w:rsid w:val="00072116"/>
    <w:rsid w:val="00072A96"/>
    <w:rsid w:val="000738B6"/>
    <w:rsid w:val="00075794"/>
    <w:rsid w:val="00075A9F"/>
    <w:rsid w:val="00076374"/>
    <w:rsid w:val="00076466"/>
    <w:rsid w:val="00076EA0"/>
    <w:rsid w:val="00077820"/>
    <w:rsid w:val="00077D6F"/>
    <w:rsid w:val="00081B00"/>
    <w:rsid w:val="00082394"/>
    <w:rsid w:val="00082F92"/>
    <w:rsid w:val="00082FE9"/>
    <w:rsid w:val="00083271"/>
    <w:rsid w:val="000870F1"/>
    <w:rsid w:val="00090EA4"/>
    <w:rsid w:val="000910BB"/>
    <w:rsid w:val="000911D9"/>
    <w:rsid w:val="0009275A"/>
    <w:rsid w:val="0009358A"/>
    <w:rsid w:val="00097F1E"/>
    <w:rsid w:val="000A116A"/>
    <w:rsid w:val="000B16F6"/>
    <w:rsid w:val="000B35A1"/>
    <w:rsid w:val="000B5BE8"/>
    <w:rsid w:val="000B7181"/>
    <w:rsid w:val="000C241E"/>
    <w:rsid w:val="000C26CE"/>
    <w:rsid w:val="000C4A8C"/>
    <w:rsid w:val="000C52E3"/>
    <w:rsid w:val="000C6767"/>
    <w:rsid w:val="000D00C7"/>
    <w:rsid w:val="000D2580"/>
    <w:rsid w:val="000D2D00"/>
    <w:rsid w:val="000D33F9"/>
    <w:rsid w:val="000D7FA7"/>
    <w:rsid w:val="000E17A0"/>
    <w:rsid w:val="000E371F"/>
    <w:rsid w:val="000E465A"/>
    <w:rsid w:val="000E54C1"/>
    <w:rsid w:val="000E5D13"/>
    <w:rsid w:val="000E6ED2"/>
    <w:rsid w:val="000F071B"/>
    <w:rsid w:val="000F11C4"/>
    <w:rsid w:val="000F32F8"/>
    <w:rsid w:val="000F391A"/>
    <w:rsid w:val="000F4899"/>
    <w:rsid w:val="00100DD4"/>
    <w:rsid w:val="0010125E"/>
    <w:rsid w:val="00110488"/>
    <w:rsid w:val="001111D5"/>
    <w:rsid w:val="001132FA"/>
    <w:rsid w:val="00114C00"/>
    <w:rsid w:val="00121F2F"/>
    <w:rsid w:val="00122730"/>
    <w:rsid w:val="0012595D"/>
    <w:rsid w:val="00127AF2"/>
    <w:rsid w:val="00134A38"/>
    <w:rsid w:val="00135715"/>
    <w:rsid w:val="001373C2"/>
    <w:rsid w:val="00137601"/>
    <w:rsid w:val="00141B98"/>
    <w:rsid w:val="00144CD4"/>
    <w:rsid w:val="001454E1"/>
    <w:rsid w:val="00145CB0"/>
    <w:rsid w:val="00145E82"/>
    <w:rsid w:val="00146EB3"/>
    <w:rsid w:val="001477B2"/>
    <w:rsid w:val="00151136"/>
    <w:rsid w:val="001531A7"/>
    <w:rsid w:val="001542C5"/>
    <w:rsid w:val="001545C6"/>
    <w:rsid w:val="001605C8"/>
    <w:rsid w:val="00161708"/>
    <w:rsid w:val="0016232A"/>
    <w:rsid w:val="00164C7A"/>
    <w:rsid w:val="00164CF3"/>
    <w:rsid w:val="00170BE9"/>
    <w:rsid w:val="00172B9F"/>
    <w:rsid w:val="00175CF5"/>
    <w:rsid w:val="00180A7E"/>
    <w:rsid w:val="00181026"/>
    <w:rsid w:val="001823B9"/>
    <w:rsid w:val="00182613"/>
    <w:rsid w:val="00192EB6"/>
    <w:rsid w:val="001940B8"/>
    <w:rsid w:val="001979CF"/>
    <w:rsid w:val="001A0DA8"/>
    <w:rsid w:val="001A36FD"/>
    <w:rsid w:val="001A4E59"/>
    <w:rsid w:val="001A7E47"/>
    <w:rsid w:val="001B056B"/>
    <w:rsid w:val="001B2ABA"/>
    <w:rsid w:val="001B3C32"/>
    <w:rsid w:val="001B7200"/>
    <w:rsid w:val="001B7BE1"/>
    <w:rsid w:val="001C0424"/>
    <w:rsid w:val="001C1AB1"/>
    <w:rsid w:val="001C2280"/>
    <w:rsid w:val="001D1AFD"/>
    <w:rsid w:val="001D4001"/>
    <w:rsid w:val="001D5BF6"/>
    <w:rsid w:val="001D6C63"/>
    <w:rsid w:val="001E203B"/>
    <w:rsid w:val="001E30A2"/>
    <w:rsid w:val="001E7870"/>
    <w:rsid w:val="001F2913"/>
    <w:rsid w:val="001F3C5B"/>
    <w:rsid w:val="001F4D5F"/>
    <w:rsid w:val="001F6C22"/>
    <w:rsid w:val="00205F04"/>
    <w:rsid w:val="00206C87"/>
    <w:rsid w:val="0021544F"/>
    <w:rsid w:val="00222085"/>
    <w:rsid w:val="002226A1"/>
    <w:rsid w:val="00230010"/>
    <w:rsid w:val="002336D5"/>
    <w:rsid w:val="00233C76"/>
    <w:rsid w:val="0023408E"/>
    <w:rsid w:val="0023674A"/>
    <w:rsid w:val="00242A48"/>
    <w:rsid w:val="00243E2C"/>
    <w:rsid w:val="002440D5"/>
    <w:rsid w:val="00244D96"/>
    <w:rsid w:val="0024752F"/>
    <w:rsid w:val="00250E49"/>
    <w:rsid w:val="00252958"/>
    <w:rsid w:val="00252FE7"/>
    <w:rsid w:val="002538A0"/>
    <w:rsid w:val="002568FB"/>
    <w:rsid w:val="00262D31"/>
    <w:rsid w:val="00263543"/>
    <w:rsid w:val="002668E0"/>
    <w:rsid w:val="00267BE3"/>
    <w:rsid w:val="002735C0"/>
    <w:rsid w:val="002738CC"/>
    <w:rsid w:val="00280DBA"/>
    <w:rsid w:val="00285B86"/>
    <w:rsid w:val="002933E9"/>
    <w:rsid w:val="00296B89"/>
    <w:rsid w:val="002A1C35"/>
    <w:rsid w:val="002A1F07"/>
    <w:rsid w:val="002B0C78"/>
    <w:rsid w:val="002B5819"/>
    <w:rsid w:val="002C66B8"/>
    <w:rsid w:val="002D0EC9"/>
    <w:rsid w:val="002D148D"/>
    <w:rsid w:val="002D34A8"/>
    <w:rsid w:val="002D4EB9"/>
    <w:rsid w:val="002D6CC7"/>
    <w:rsid w:val="002D7249"/>
    <w:rsid w:val="002E0C55"/>
    <w:rsid w:val="002F367A"/>
    <w:rsid w:val="002F4295"/>
    <w:rsid w:val="002F5F59"/>
    <w:rsid w:val="002F7DDB"/>
    <w:rsid w:val="00301E47"/>
    <w:rsid w:val="0030343D"/>
    <w:rsid w:val="00310A68"/>
    <w:rsid w:val="0031311A"/>
    <w:rsid w:val="0032324B"/>
    <w:rsid w:val="00332EA1"/>
    <w:rsid w:val="0034117E"/>
    <w:rsid w:val="00342887"/>
    <w:rsid w:val="00343AEA"/>
    <w:rsid w:val="00344B39"/>
    <w:rsid w:val="00346BAF"/>
    <w:rsid w:val="003601CF"/>
    <w:rsid w:val="00362720"/>
    <w:rsid w:val="00363155"/>
    <w:rsid w:val="00370C6E"/>
    <w:rsid w:val="00373BDD"/>
    <w:rsid w:val="00373DB9"/>
    <w:rsid w:val="00376892"/>
    <w:rsid w:val="00376BF8"/>
    <w:rsid w:val="00380E37"/>
    <w:rsid w:val="003876D9"/>
    <w:rsid w:val="003879FD"/>
    <w:rsid w:val="00391DDD"/>
    <w:rsid w:val="0039241E"/>
    <w:rsid w:val="003937E7"/>
    <w:rsid w:val="0039668D"/>
    <w:rsid w:val="003A29C2"/>
    <w:rsid w:val="003A2B43"/>
    <w:rsid w:val="003A460D"/>
    <w:rsid w:val="003B0479"/>
    <w:rsid w:val="003B0F31"/>
    <w:rsid w:val="003B120E"/>
    <w:rsid w:val="003B2ECF"/>
    <w:rsid w:val="003B303A"/>
    <w:rsid w:val="003B3361"/>
    <w:rsid w:val="003B4823"/>
    <w:rsid w:val="003B61A0"/>
    <w:rsid w:val="003D0BC4"/>
    <w:rsid w:val="003D572F"/>
    <w:rsid w:val="003D57E1"/>
    <w:rsid w:val="003D7FB9"/>
    <w:rsid w:val="003E3F04"/>
    <w:rsid w:val="003E55C9"/>
    <w:rsid w:val="003E5F17"/>
    <w:rsid w:val="003F0E25"/>
    <w:rsid w:val="003F1489"/>
    <w:rsid w:val="003F418B"/>
    <w:rsid w:val="003F5422"/>
    <w:rsid w:val="003F5759"/>
    <w:rsid w:val="003F71FE"/>
    <w:rsid w:val="00402CB1"/>
    <w:rsid w:val="004060B3"/>
    <w:rsid w:val="00410B51"/>
    <w:rsid w:val="00411770"/>
    <w:rsid w:val="004121F8"/>
    <w:rsid w:val="00413DCD"/>
    <w:rsid w:val="00416330"/>
    <w:rsid w:val="00420B88"/>
    <w:rsid w:val="00421FE3"/>
    <w:rsid w:val="00434062"/>
    <w:rsid w:val="00434A77"/>
    <w:rsid w:val="00436809"/>
    <w:rsid w:val="00436A09"/>
    <w:rsid w:val="004403F7"/>
    <w:rsid w:val="00441E05"/>
    <w:rsid w:val="004444F1"/>
    <w:rsid w:val="00451B8A"/>
    <w:rsid w:val="0045570B"/>
    <w:rsid w:val="0045652C"/>
    <w:rsid w:val="004604B7"/>
    <w:rsid w:val="00462A9C"/>
    <w:rsid w:val="00462BC5"/>
    <w:rsid w:val="004632F1"/>
    <w:rsid w:val="00464249"/>
    <w:rsid w:val="00471DEE"/>
    <w:rsid w:val="00481715"/>
    <w:rsid w:val="00481A0F"/>
    <w:rsid w:val="0048261B"/>
    <w:rsid w:val="004838F5"/>
    <w:rsid w:val="00485122"/>
    <w:rsid w:val="00485B5E"/>
    <w:rsid w:val="004903F8"/>
    <w:rsid w:val="00494992"/>
    <w:rsid w:val="00495F3A"/>
    <w:rsid w:val="004A0CA0"/>
    <w:rsid w:val="004A23B2"/>
    <w:rsid w:val="004A31D9"/>
    <w:rsid w:val="004A5E00"/>
    <w:rsid w:val="004B1C42"/>
    <w:rsid w:val="004B1EF7"/>
    <w:rsid w:val="004B3280"/>
    <w:rsid w:val="004B4BFB"/>
    <w:rsid w:val="004C5B20"/>
    <w:rsid w:val="004D1278"/>
    <w:rsid w:val="004E1DDA"/>
    <w:rsid w:val="004E6BD0"/>
    <w:rsid w:val="004F0874"/>
    <w:rsid w:val="004F247B"/>
    <w:rsid w:val="004F277A"/>
    <w:rsid w:val="005005CB"/>
    <w:rsid w:val="00502665"/>
    <w:rsid w:val="00503D2E"/>
    <w:rsid w:val="0050415A"/>
    <w:rsid w:val="00511722"/>
    <w:rsid w:val="005124D1"/>
    <w:rsid w:val="00514E7C"/>
    <w:rsid w:val="00516F02"/>
    <w:rsid w:val="005208A3"/>
    <w:rsid w:val="00521EDC"/>
    <w:rsid w:val="00522CC3"/>
    <w:rsid w:val="005318F6"/>
    <w:rsid w:val="0053284F"/>
    <w:rsid w:val="00537E80"/>
    <w:rsid w:val="00537FFE"/>
    <w:rsid w:val="0054208C"/>
    <w:rsid w:val="005420D4"/>
    <w:rsid w:val="0054273E"/>
    <w:rsid w:val="00545260"/>
    <w:rsid w:val="0054665B"/>
    <w:rsid w:val="005503DA"/>
    <w:rsid w:val="00551DDE"/>
    <w:rsid w:val="00553AAF"/>
    <w:rsid w:val="0055440C"/>
    <w:rsid w:val="00557BCE"/>
    <w:rsid w:val="00560ED4"/>
    <w:rsid w:val="00561E69"/>
    <w:rsid w:val="00565805"/>
    <w:rsid w:val="005669CB"/>
    <w:rsid w:val="00566A8C"/>
    <w:rsid w:val="005710E8"/>
    <w:rsid w:val="00572A22"/>
    <w:rsid w:val="00574FA5"/>
    <w:rsid w:val="005757F5"/>
    <w:rsid w:val="00586205"/>
    <w:rsid w:val="00593F8D"/>
    <w:rsid w:val="005943D9"/>
    <w:rsid w:val="005957AA"/>
    <w:rsid w:val="005A0A16"/>
    <w:rsid w:val="005A1504"/>
    <w:rsid w:val="005A26CB"/>
    <w:rsid w:val="005A415F"/>
    <w:rsid w:val="005A60A4"/>
    <w:rsid w:val="005A7347"/>
    <w:rsid w:val="005B2329"/>
    <w:rsid w:val="005B260E"/>
    <w:rsid w:val="005B354B"/>
    <w:rsid w:val="005B6F1A"/>
    <w:rsid w:val="005C0EA6"/>
    <w:rsid w:val="005C20EC"/>
    <w:rsid w:val="005C22FB"/>
    <w:rsid w:val="005C4E0D"/>
    <w:rsid w:val="005C5D8B"/>
    <w:rsid w:val="005C75D9"/>
    <w:rsid w:val="005C7ECB"/>
    <w:rsid w:val="005C7F63"/>
    <w:rsid w:val="005D13CB"/>
    <w:rsid w:val="005D19B3"/>
    <w:rsid w:val="005D1A31"/>
    <w:rsid w:val="005D3645"/>
    <w:rsid w:val="005D5BCA"/>
    <w:rsid w:val="005D6D42"/>
    <w:rsid w:val="005D6EA8"/>
    <w:rsid w:val="005E22AF"/>
    <w:rsid w:val="005E428B"/>
    <w:rsid w:val="005E5E51"/>
    <w:rsid w:val="005E692F"/>
    <w:rsid w:val="005F17D8"/>
    <w:rsid w:val="005F5C86"/>
    <w:rsid w:val="00607488"/>
    <w:rsid w:val="00613188"/>
    <w:rsid w:val="0061630C"/>
    <w:rsid w:val="0062291E"/>
    <w:rsid w:val="006238C1"/>
    <w:rsid w:val="0062553F"/>
    <w:rsid w:val="006258FE"/>
    <w:rsid w:val="00626924"/>
    <w:rsid w:val="006276FF"/>
    <w:rsid w:val="0063045B"/>
    <w:rsid w:val="00631305"/>
    <w:rsid w:val="00636A31"/>
    <w:rsid w:val="00642830"/>
    <w:rsid w:val="0065631B"/>
    <w:rsid w:val="00657CBA"/>
    <w:rsid w:val="00665CD6"/>
    <w:rsid w:val="006730F9"/>
    <w:rsid w:val="0068108C"/>
    <w:rsid w:val="00683423"/>
    <w:rsid w:val="00687EDB"/>
    <w:rsid w:val="00691E3C"/>
    <w:rsid w:val="00691EAE"/>
    <w:rsid w:val="006A1E81"/>
    <w:rsid w:val="006A1F6B"/>
    <w:rsid w:val="006A23DB"/>
    <w:rsid w:val="006A486C"/>
    <w:rsid w:val="006A72AA"/>
    <w:rsid w:val="006B051C"/>
    <w:rsid w:val="006B2A6A"/>
    <w:rsid w:val="006B3133"/>
    <w:rsid w:val="006B7F48"/>
    <w:rsid w:val="006C7414"/>
    <w:rsid w:val="006D195E"/>
    <w:rsid w:val="006D1C5D"/>
    <w:rsid w:val="006D4241"/>
    <w:rsid w:val="006E0D2F"/>
    <w:rsid w:val="006E1560"/>
    <w:rsid w:val="006E227A"/>
    <w:rsid w:val="006E448F"/>
    <w:rsid w:val="006E48EA"/>
    <w:rsid w:val="006E7460"/>
    <w:rsid w:val="006F01EF"/>
    <w:rsid w:val="006F17A7"/>
    <w:rsid w:val="006F1B05"/>
    <w:rsid w:val="006F5A00"/>
    <w:rsid w:val="00704074"/>
    <w:rsid w:val="007106E3"/>
    <w:rsid w:val="00710979"/>
    <w:rsid w:val="00711086"/>
    <w:rsid w:val="00715B2C"/>
    <w:rsid w:val="00715C81"/>
    <w:rsid w:val="00716FCB"/>
    <w:rsid w:val="00721B6B"/>
    <w:rsid w:val="007236F6"/>
    <w:rsid w:val="00726C9F"/>
    <w:rsid w:val="00730816"/>
    <w:rsid w:val="00731FC1"/>
    <w:rsid w:val="007328AF"/>
    <w:rsid w:val="007342FF"/>
    <w:rsid w:val="007406DB"/>
    <w:rsid w:val="00742758"/>
    <w:rsid w:val="00747D15"/>
    <w:rsid w:val="00751E59"/>
    <w:rsid w:val="00753924"/>
    <w:rsid w:val="00754090"/>
    <w:rsid w:val="00761A0A"/>
    <w:rsid w:val="00762D5F"/>
    <w:rsid w:val="00767D48"/>
    <w:rsid w:val="00786338"/>
    <w:rsid w:val="00786FD7"/>
    <w:rsid w:val="00787203"/>
    <w:rsid w:val="00787776"/>
    <w:rsid w:val="007909B4"/>
    <w:rsid w:val="007A0D63"/>
    <w:rsid w:val="007A6D6A"/>
    <w:rsid w:val="007C1784"/>
    <w:rsid w:val="007C5A89"/>
    <w:rsid w:val="007D03FD"/>
    <w:rsid w:val="007D1F1C"/>
    <w:rsid w:val="007D26A6"/>
    <w:rsid w:val="007D4FE3"/>
    <w:rsid w:val="007D6C0E"/>
    <w:rsid w:val="007E63E2"/>
    <w:rsid w:val="007F24FB"/>
    <w:rsid w:val="007F4CE5"/>
    <w:rsid w:val="007F7CE0"/>
    <w:rsid w:val="00801B84"/>
    <w:rsid w:val="008051B1"/>
    <w:rsid w:val="00805456"/>
    <w:rsid w:val="00805614"/>
    <w:rsid w:val="00807ED2"/>
    <w:rsid w:val="00811D73"/>
    <w:rsid w:val="008129BE"/>
    <w:rsid w:val="00814AF1"/>
    <w:rsid w:val="008159A8"/>
    <w:rsid w:val="00816F90"/>
    <w:rsid w:val="00817AF8"/>
    <w:rsid w:val="008230B7"/>
    <w:rsid w:val="00825303"/>
    <w:rsid w:val="00826194"/>
    <w:rsid w:val="00826583"/>
    <w:rsid w:val="00830772"/>
    <w:rsid w:val="00833F81"/>
    <w:rsid w:val="008373D8"/>
    <w:rsid w:val="00840E1F"/>
    <w:rsid w:val="00842097"/>
    <w:rsid w:val="008445F1"/>
    <w:rsid w:val="00857328"/>
    <w:rsid w:val="00860ED6"/>
    <w:rsid w:val="008624F2"/>
    <w:rsid w:val="00864D80"/>
    <w:rsid w:val="00867BF6"/>
    <w:rsid w:val="00870FE8"/>
    <w:rsid w:val="00872E1F"/>
    <w:rsid w:val="00877BDF"/>
    <w:rsid w:val="00880206"/>
    <w:rsid w:val="008817FD"/>
    <w:rsid w:val="0089184D"/>
    <w:rsid w:val="0089340C"/>
    <w:rsid w:val="00894289"/>
    <w:rsid w:val="008959A0"/>
    <w:rsid w:val="008A0FCF"/>
    <w:rsid w:val="008A208C"/>
    <w:rsid w:val="008A7DA0"/>
    <w:rsid w:val="008B1D78"/>
    <w:rsid w:val="008B2759"/>
    <w:rsid w:val="008B3134"/>
    <w:rsid w:val="008B32CD"/>
    <w:rsid w:val="008B3AD4"/>
    <w:rsid w:val="008B65E3"/>
    <w:rsid w:val="008C0B99"/>
    <w:rsid w:val="008C374B"/>
    <w:rsid w:val="008D0698"/>
    <w:rsid w:val="008D2556"/>
    <w:rsid w:val="008D26D8"/>
    <w:rsid w:val="008D45A6"/>
    <w:rsid w:val="008E0125"/>
    <w:rsid w:val="008E031A"/>
    <w:rsid w:val="008E6517"/>
    <w:rsid w:val="008E6B13"/>
    <w:rsid w:val="008E6CA6"/>
    <w:rsid w:val="008F4977"/>
    <w:rsid w:val="008F4BD1"/>
    <w:rsid w:val="0090127B"/>
    <w:rsid w:val="009060C8"/>
    <w:rsid w:val="00916CB4"/>
    <w:rsid w:val="009179D0"/>
    <w:rsid w:val="00921E80"/>
    <w:rsid w:val="00922647"/>
    <w:rsid w:val="00922DD2"/>
    <w:rsid w:val="009244E5"/>
    <w:rsid w:val="00924CFD"/>
    <w:rsid w:val="00932550"/>
    <w:rsid w:val="00933ED5"/>
    <w:rsid w:val="00942D82"/>
    <w:rsid w:val="009455E4"/>
    <w:rsid w:val="009457F7"/>
    <w:rsid w:val="0095215B"/>
    <w:rsid w:val="00952DF3"/>
    <w:rsid w:val="009533C2"/>
    <w:rsid w:val="00953967"/>
    <w:rsid w:val="00953D23"/>
    <w:rsid w:val="009542E9"/>
    <w:rsid w:val="009543E6"/>
    <w:rsid w:val="00955083"/>
    <w:rsid w:val="009569B9"/>
    <w:rsid w:val="0096126D"/>
    <w:rsid w:val="00961A36"/>
    <w:rsid w:val="009621EC"/>
    <w:rsid w:val="00962DCF"/>
    <w:rsid w:val="0096453D"/>
    <w:rsid w:val="00964B48"/>
    <w:rsid w:val="00965626"/>
    <w:rsid w:val="0096632F"/>
    <w:rsid w:val="0096794F"/>
    <w:rsid w:val="00970BC4"/>
    <w:rsid w:val="00970BED"/>
    <w:rsid w:val="009724F7"/>
    <w:rsid w:val="00975B37"/>
    <w:rsid w:val="00976151"/>
    <w:rsid w:val="00976CA8"/>
    <w:rsid w:val="009775C8"/>
    <w:rsid w:val="00977F6E"/>
    <w:rsid w:val="00980FFC"/>
    <w:rsid w:val="0098151D"/>
    <w:rsid w:val="0098170D"/>
    <w:rsid w:val="0098586F"/>
    <w:rsid w:val="00987B56"/>
    <w:rsid w:val="00991FFD"/>
    <w:rsid w:val="009967DF"/>
    <w:rsid w:val="00997362"/>
    <w:rsid w:val="009977AF"/>
    <w:rsid w:val="00997A6D"/>
    <w:rsid w:val="009A232A"/>
    <w:rsid w:val="009B35EC"/>
    <w:rsid w:val="009B4816"/>
    <w:rsid w:val="009B4CEE"/>
    <w:rsid w:val="009B4F88"/>
    <w:rsid w:val="009D3517"/>
    <w:rsid w:val="009D3BEB"/>
    <w:rsid w:val="009D4D71"/>
    <w:rsid w:val="009D5759"/>
    <w:rsid w:val="009D5D4E"/>
    <w:rsid w:val="009D6AC9"/>
    <w:rsid w:val="009D7CCD"/>
    <w:rsid w:val="009E0599"/>
    <w:rsid w:val="009E1EF0"/>
    <w:rsid w:val="009E333B"/>
    <w:rsid w:val="009E4301"/>
    <w:rsid w:val="009F7FF5"/>
    <w:rsid w:val="00A00BED"/>
    <w:rsid w:val="00A041E6"/>
    <w:rsid w:val="00A10134"/>
    <w:rsid w:val="00A11BB1"/>
    <w:rsid w:val="00A1210B"/>
    <w:rsid w:val="00A149C8"/>
    <w:rsid w:val="00A20B92"/>
    <w:rsid w:val="00A220B4"/>
    <w:rsid w:val="00A2239B"/>
    <w:rsid w:val="00A223B7"/>
    <w:rsid w:val="00A2495C"/>
    <w:rsid w:val="00A26797"/>
    <w:rsid w:val="00A3019A"/>
    <w:rsid w:val="00A34EEA"/>
    <w:rsid w:val="00A40A16"/>
    <w:rsid w:val="00A431EA"/>
    <w:rsid w:val="00A4698B"/>
    <w:rsid w:val="00A46DCD"/>
    <w:rsid w:val="00A519E5"/>
    <w:rsid w:val="00A61ADD"/>
    <w:rsid w:val="00A64099"/>
    <w:rsid w:val="00A65C57"/>
    <w:rsid w:val="00A6625F"/>
    <w:rsid w:val="00A66C2C"/>
    <w:rsid w:val="00A70496"/>
    <w:rsid w:val="00A71162"/>
    <w:rsid w:val="00A73C64"/>
    <w:rsid w:val="00A8085A"/>
    <w:rsid w:val="00A835D6"/>
    <w:rsid w:val="00A838BD"/>
    <w:rsid w:val="00A85E48"/>
    <w:rsid w:val="00A85F5D"/>
    <w:rsid w:val="00A90379"/>
    <w:rsid w:val="00A933EB"/>
    <w:rsid w:val="00A944CF"/>
    <w:rsid w:val="00A965C0"/>
    <w:rsid w:val="00A97C0E"/>
    <w:rsid w:val="00AA677C"/>
    <w:rsid w:val="00AB4548"/>
    <w:rsid w:val="00AB6846"/>
    <w:rsid w:val="00AC01C1"/>
    <w:rsid w:val="00AC0FED"/>
    <w:rsid w:val="00AC18D3"/>
    <w:rsid w:val="00AC2F2F"/>
    <w:rsid w:val="00AC53FA"/>
    <w:rsid w:val="00AD2297"/>
    <w:rsid w:val="00AD5E51"/>
    <w:rsid w:val="00AD7698"/>
    <w:rsid w:val="00AE0025"/>
    <w:rsid w:val="00AF0ED3"/>
    <w:rsid w:val="00AF1830"/>
    <w:rsid w:val="00AF1ED3"/>
    <w:rsid w:val="00AF2CDE"/>
    <w:rsid w:val="00AF2FED"/>
    <w:rsid w:val="00AF3FF5"/>
    <w:rsid w:val="00AF3FFC"/>
    <w:rsid w:val="00B0793F"/>
    <w:rsid w:val="00B07D48"/>
    <w:rsid w:val="00B10BC0"/>
    <w:rsid w:val="00B118C2"/>
    <w:rsid w:val="00B1618D"/>
    <w:rsid w:val="00B1622C"/>
    <w:rsid w:val="00B16D6D"/>
    <w:rsid w:val="00B206A3"/>
    <w:rsid w:val="00B206F3"/>
    <w:rsid w:val="00B21D25"/>
    <w:rsid w:val="00B31029"/>
    <w:rsid w:val="00B325F2"/>
    <w:rsid w:val="00B33304"/>
    <w:rsid w:val="00B33898"/>
    <w:rsid w:val="00B41BD8"/>
    <w:rsid w:val="00B41F82"/>
    <w:rsid w:val="00B46CC7"/>
    <w:rsid w:val="00B4788D"/>
    <w:rsid w:val="00B47FB1"/>
    <w:rsid w:val="00B54D54"/>
    <w:rsid w:val="00B554CA"/>
    <w:rsid w:val="00B55C9E"/>
    <w:rsid w:val="00B636F4"/>
    <w:rsid w:val="00B6494A"/>
    <w:rsid w:val="00B65137"/>
    <w:rsid w:val="00B70EF5"/>
    <w:rsid w:val="00B718F4"/>
    <w:rsid w:val="00B72388"/>
    <w:rsid w:val="00B72D03"/>
    <w:rsid w:val="00B72EA2"/>
    <w:rsid w:val="00B74E12"/>
    <w:rsid w:val="00B8057D"/>
    <w:rsid w:val="00B8231F"/>
    <w:rsid w:val="00B82828"/>
    <w:rsid w:val="00B82C05"/>
    <w:rsid w:val="00B83E38"/>
    <w:rsid w:val="00B8465C"/>
    <w:rsid w:val="00B94C26"/>
    <w:rsid w:val="00BA3F90"/>
    <w:rsid w:val="00BA4946"/>
    <w:rsid w:val="00BA7E10"/>
    <w:rsid w:val="00BB0B36"/>
    <w:rsid w:val="00BB393C"/>
    <w:rsid w:val="00BC2ED1"/>
    <w:rsid w:val="00BC3535"/>
    <w:rsid w:val="00BC4912"/>
    <w:rsid w:val="00BC55C1"/>
    <w:rsid w:val="00BC57F6"/>
    <w:rsid w:val="00BD048E"/>
    <w:rsid w:val="00BD04E3"/>
    <w:rsid w:val="00BD304E"/>
    <w:rsid w:val="00BE4B34"/>
    <w:rsid w:val="00BF0481"/>
    <w:rsid w:val="00BF1191"/>
    <w:rsid w:val="00BF263C"/>
    <w:rsid w:val="00BF50EA"/>
    <w:rsid w:val="00BF7416"/>
    <w:rsid w:val="00C0239F"/>
    <w:rsid w:val="00C0405B"/>
    <w:rsid w:val="00C04E3E"/>
    <w:rsid w:val="00C0558B"/>
    <w:rsid w:val="00C113C4"/>
    <w:rsid w:val="00C12283"/>
    <w:rsid w:val="00C13ADB"/>
    <w:rsid w:val="00C13F8D"/>
    <w:rsid w:val="00C14866"/>
    <w:rsid w:val="00C14C77"/>
    <w:rsid w:val="00C1683F"/>
    <w:rsid w:val="00C20F0A"/>
    <w:rsid w:val="00C25007"/>
    <w:rsid w:val="00C25077"/>
    <w:rsid w:val="00C27EF6"/>
    <w:rsid w:val="00C31705"/>
    <w:rsid w:val="00C44416"/>
    <w:rsid w:val="00C46878"/>
    <w:rsid w:val="00C52172"/>
    <w:rsid w:val="00C52DB7"/>
    <w:rsid w:val="00C534F7"/>
    <w:rsid w:val="00C56755"/>
    <w:rsid w:val="00C60C6A"/>
    <w:rsid w:val="00C62532"/>
    <w:rsid w:val="00C636E6"/>
    <w:rsid w:val="00C65CA5"/>
    <w:rsid w:val="00C720A2"/>
    <w:rsid w:val="00C720FD"/>
    <w:rsid w:val="00C72530"/>
    <w:rsid w:val="00C73984"/>
    <w:rsid w:val="00C74C82"/>
    <w:rsid w:val="00C75340"/>
    <w:rsid w:val="00C77A4D"/>
    <w:rsid w:val="00C815A2"/>
    <w:rsid w:val="00C81B80"/>
    <w:rsid w:val="00C824E4"/>
    <w:rsid w:val="00C83AD4"/>
    <w:rsid w:val="00C875E5"/>
    <w:rsid w:val="00C9189E"/>
    <w:rsid w:val="00C91DAD"/>
    <w:rsid w:val="00C94289"/>
    <w:rsid w:val="00CA29FB"/>
    <w:rsid w:val="00CA5B50"/>
    <w:rsid w:val="00CA67A2"/>
    <w:rsid w:val="00CB24F9"/>
    <w:rsid w:val="00CB3C31"/>
    <w:rsid w:val="00CB3D5D"/>
    <w:rsid w:val="00CB45CB"/>
    <w:rsid w:val="00CB5698"/>
    <w:rsid w:val="00CB6AA6"/>
    <w:rsid w:val="00CB70B3"/>
    <w:rsid w:val="00CB76C5"/>
    <w:rsid w:val="00CC41D4"/>
    <w:rsid w:val="00CC49C0"/>
    <w:rsid w:val="00CD3298"/>
    <w:rsid w:val="00CD413C"/>
    <w:rsid w:val="00CD4512"/>
    <w:rsid w:val="00CD593B"/>
    <w:rsid w:val="00CD6332"/>
    <w:rsid w:val="00CD65BD"/>
    <w:rsid w:val="00CE0E43"/>
    <w:rsid w:val="00CE6676"/>
    <w:rsid w:val="00CE78A4"/>
    <w:rsid w:val="00CF43C8"/>
    <w:rsid w:val="00D00037"/>
    <w:rsid w:val="00D0408E"/>
    <w:rsid w:val="00D04918"/>
    <w:rsid w:val="00D05C45"/>
    <w:rsid w:val="00D07BF9"/>
    <w:rsid w:val="00D07E82"/>
    <w:rsid w:val="00D10722"/>
    <w:rsid w:val="00D13066"/>
    <w:rsid w:val="00D1439B"/>
    <w:rsid w:val="00D16638"/>
    <w:rsid w:val="00D24593"/>
    <w:rsid w:val="00D275DD"/>
    <w:rsid w:val="00D321AE"/>
    <w:rsid w:val="00D3412B"/>
    <w:rsid w:val="00D34F6A"/>
    <w:rsid w:val="00D36503"/>
    <w:rsid w:val="00D402A9"/>
    <w:rsid w:val="00D41D24"/>
    <w:rsid w:val="00D431F9"/>
    <w:rsid w:val="00D43E0D"/>
    <w:rsid w:val="00D446E1"/>
    <w:rsid w:val="00D44BAB"/>
    <w:rsid w:val="00D47607"/>
    <w:rsid w:val="00D47A4B"/>
    <w:rsid w:val="00D667E2"/>
    <w:rsid w:val="00D67C8F"/>
    <w:rsid w:val="00D67F5E"/>
    <w:rsid w:val="00D70989"/>
    <w:rsid w:val="00D72122"/>
    <w:rsid w:val="00D766E5"/>
    <w:rsid w:val="00D76828"/>
    <w:rsid w:val="00D76920"/>
    <w:rsid w:val="00D85840"/>
    <w:rsid w:val="00D85864"/>
    <w:rsid w:val="00D9169F"/>
    <w:rsid w:val="00D92F1D"/>
    <w:rsid w:val="00D93C09"/>
    <w:rsid w:val="00D94413"/>
    <w:rsid w:val="00DA0D61"/>
    <w:rsid w:val="00DA125D"/>
    <w:rsid w:val="00DA2754"/>
    <w:rsid w:val="00DA3A36"/>
    <w:rsid w:val="00DA58C5"/>
    <w:rsid w:val="00DA6C0A"/>
    <w:rsid w:val="00DB6356"/>
    <w:rsid w:val="00DC387D"/>
    <w:rsid w:val="00DC56E3"/>
    <w:rsid w:val="00DC5714"/>
    <w:rsid w:val="00DC5EDB"/>
    <w:rsid w:val="00DD1065"/>
    <w:rsid w:val="00DD289B"/>
    <w:rsid w:val="00DD2A62"/>
    <w:rsid w:val="00DE1B19"/>
    <w:rsid w:val="00DE5AFF"/>
    <w:rsid w:val="00DF1902"/>
    <w:rsid w:val="00DF2A61"/>
    <w:rsid w:val="00DF5116"/>
    <w:rsid w:val="00DF5326"/>
    <w:rsid w:val="00DF5A77"/>
    <w:rsid w:val="00DF71A3"/>
    <w:rsid w:val="00E04866"/>
    <w:rsid w:val="00E069E4"/>
    <w:rsid w:val="00E07DAF"/>
    <w:rsid w:val="00E1004F"/>
    <w:rsid w:val="00E10583"/>
    <w:rsid w:val="00E107F2"/>
    <w:rsid w:val="00E11EE2"/>
    <w:rsid w:val="00E12BF3"/>
    <w:rsid w:val="00E12FFB"/>
    <w:rsid w:val="00E176F7"/>
    <w:rsid w:val="00E21545"/>
    <w:rsid w:val="00E22A74"/>
    <w:rsid w:val="00E22B1E"/>
    <w:rsid w:val="00E22CB1"/>
    <w:rsid w:val="00E254EC"/>
    <w:rsid w:val="00E2657E"/>
    <w:rsid w:val="00E30E51"/>
    <w:rsid w:val="00E310F6"/>
    <w:rsid w:val="00E31999"/>
    <w:rsid w:val="00E33076"/>
    <w:rsid w:val="00E35846"/>
    <w:rsid w:val="00E3644D"/>
    <w:rsid w:val="00E36A82"/>
    <w:rsid w:val="00E402D4"/>
    <w:rsid w:val="00E41FC3"/>
    <w:rsid w:val="00E42A4B"/>
    <w:rsid w:val="00E50CB6"/>
    <w:rsid w:val="00E51099"/>
    <w:rsid w:val="00E53F4E"/>
    <w:rsid w:val="00E56593"/>
    <w:rsid w:val="00E56A7C"/>
    <w:rsid w:val="00E62ADE"/>
    <w:rsid w:val="00E65A56"/>
    <w:rsid w:val="00E70771"/>
    <w:rsid w:val="00E73CB3"/>
    <w:rsid w:val="00E75B87"/>
    <w:rsid w:val="00E76DE1"/>
    <w:rsid w:val="00E774BD"/>
    <w:rsid w:val="00E86780"/>
    <w:rsid w:val="00E878D9"/>
    <w:rsid w:val="00E92BA4"/>
    <w:rsid w:val="00E93648"/>
    <w:rsid w:val="00EA0E3C"/>
    <w:rsid w:val="00EA3745"/>
    <w:rsid w:val="00EA7EF5"/>
    <w:rsid w:val="00EB1538"/>
    <w:rsid w:val="00EB17C5"/>
    <w:rsid w:val="00EB36F7"/>
    <w:rsid w:val="00EB7102"/>
    <w:rsid w:val="00EB73F8"/>
    <w:rsid w:val="00EC3154"/>
    <w:rsid w:val="00EC38A8"/>
    <w:rsid w:val="00EC6E76"/>
    <w:rsid w:val="00ED3BBF"/>
    <w:rsid w:val="00EE2B27"/>
    <w:rsid w:val="00EE4990"/>
    <w:rsid w:val="00EE4F6C"/>
    <w:rsid w:val="00EF0F4C"/>
    <w:rsid w:val="00EF17DB"/>
    <w:rsid w:val="00EF1BEB"/>
    <w:rsid w:val="00EF2872"/>
    <w:rsid w:val="00EF3EFB"/>
    <w:rsid w:val="00EF596F"/>
    <w:rsid w:val="00EF6173"/>
    <w:rsid w:val="00EF6486"/>
    <w:rsid w:val="00EF742F"/>
    <w:rsid w:val="00F16717"/>
    <w:rsid w:val="00F16F1D"/>
    <w:rsid w:val="00F17187"/>
    <w:rsid w:val="00F207AA"/>
    <w:rsid w:val="00F21515"/>
    <w:rsid w:val="00F226F6"/>
    <w:rsid w:val="00F23974"/>
    <w:rsid w:val="00F24643"/>
    <w:rsid w:val="00F24D90"/>
    <w:rsid w:val="00F25C84"/>
    <w:rsid w:val="00F32101"/>
    <w:rsid w:val="00F33746"/>
    <w:rsid w:val="00F3478F"/>
    <w:rsid w:val="00F35F5B"/>
    <w:rsid w:val="00F43EB8"/>
    <w:rsid w:val="00F442FF"/>
    <w:rsid w:val="00F45C27"/>
    <w:rsid w:val="00F50F70"/>
    <w:rsid w:val="00F51779"/>
    <w:rsid w:val="00F52839"/>
    <w:rsid w:val="00F52E96"/>
    <w:rsid w:val="00F52FEB"/>
    <w:rsid w:val="00F533EC"/>
    <w:rsid w:val="00F65705"/>
    <w:rsid w:val="00F677B6"/>
    <w:rsid w:val="00F7284B"/>
    <w:rsid w:val="00F75379"/>
    <w:rsid w:val="00F7784E"/>
    <w:rsid w:val="00F77BFF"/>
    <w:rsid w:val="00F83024"/>
    <w:rsid w:val="00F83C0A"/>
    <w:rsid w:val="00F85739"/>
    <w:rsid w:val="00F85EF9"/>
    <w:rsid w:val="00F86198"/>
    <w:rsid w:val="00F906C7"/>
    <w:rsid w:val="00F916EF"/>
    <w:rsid w:val="00F93329"/>
    <w:rsid w:val="00F96DCB"/>
    <w:rsid w:val="00F96E9E"/>
    <w:rsid w:val="00FA47C3"/>
    <w:rsid w:val="00FA62A7"/>
    <w:rsid w:val="00FA720B"/>
    <w:rsid w:val="00FA76E1"/>
    <w:rsid w:val="00FA7C55"/>
    <w:rsid w:val="00FB091B"/>
    <w:rsid w:val="00FB0F87"/>
    <w:rsid w:val="00FC3B0A"/>
    <w:rsid w:val="00FC61D7"/>
    <w:rsid w:val="00FC6E25"/>
    <w:rsid w:val="00FD551A"/>
    <w:rsid w:val="00FE113B"/>
    <w:rsid w:val="00FE52B0"/>
    <w:rsid w:val="00FE5422"/>
    <w:rsid w:val="00FE62E1"/>
    <w:rsid w:val="00FF0715"/>
    <w:rsid w:val="00FF2AC6"/>
    <w:rsid w:val="00FF346C"/>
    <w:rsid w:val="00FF44ED"/>
    <w:rsid w:val="00FF4C6D"/>
    <w:rsid w:val="00FF77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8804"/>
  <w15:docId w15:val="{2250BFED-7F69-4621-9C06-3CDA253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197D"/>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846"/>
    <w:rPr>
      <w:color w:val="0000FF" w:themeColor="hyperlink"/>
      <w:u w:val="single"/>
    </w:rPr>
  </w:style>
  <w:style w:type="paragraph" w:styleId="BalloonText">
    <w:name w:val="Balloon Text"/>
    <w:basedOn w:val="Normal"/>
    <w:link w:val="BalloonTextChar"/>
    <w:uiPriority w:val="99"/>
    <w:semiHidden/>
    <w:unhideWhenUsed/>
    <w:rsid w:val="00BD3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4E"/>
    <w:rPr>
      <w:rFonts w:ascii="Segoe UI" w:hAnsi="Segoe UI" w:cs="Segoe UI"/>
      <w:sz w:val="18"/>
      <w:szCs w:val="18"/>
    </w:rPr>
  </w:style>
  <w:style w:type="character" w:customStyle="1" w:styleId="citation-doi">
    <w:name w:val="citation-doi"/>
    <w:basedOn w:val="DefaultParagraphFont"/>
    <w:rsid w:val="00B41BD8"/>
  </w:style>
  <w:style w:type="character" w:customStyle="1" w:styleId="hgkelc">
    <w:name w:val="hgkelc"/>
    <w:basedOn w:val="DefaultParagraphFont"/>
    <w:rsid w:val="007C5A89"/>
  </w:style>
  <w:style w:type="paragraph" w:styleId="ListParagraph">
    <w:name w:val="List Paragraph"/>
    <w:basedOn w:val="Normal"/>
    <w:uiPriority w:val="34"/>
    <w:qFormat/>
    <w:rsid w:val="00D446E1"/>
    <w:pPr>
      <w:ind w:left="720"/>
      <w:contextualSpacing/>
    </w:pPr>
  </w:style>
  <w:style w:type="paragraph" w:styleId="NormalWeb">
    <w:name w:val="Normal (Web)"/>
    <w:basedOn w:val="Normal"/>
    <w:uiPriority w:val="99"/>
    <w:semiHidden/>
    <w:unhideWhenUsed/>
    <w:rsid w:val="00932550"/>
    <w:pPr>
      <w:spacing w:before="100" w:beforeAutospacing="1" w:after="100" w:afterAutospacing="1"/>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B0793F"/>
    <w:rPr>
      <w:i/>
      <w:iCs/>
    </w:rPr>
  </w:style>
  <w:style w:type="character" w:styleId="CommentReference">
    <w:name w:val="annotation reference"/>
    <w:basedOn w:val="DefaultParagraphFont"/>
    <w:uiPriority w:val="99"/>
    <w:semiHidden/>
    <w:unhideWhenUsed/>
    <w:rsid w:val="00D85864"/>
    <w:rPr>
      <w:sz w:val="16"/>
      <w:szCs w:val="16"/>
    </w:rPr>
  </w:style>
  <w:style w:type="paragraph" w:styleId="CommentText">
    <w:name w:val="annotation text"/>
    <w:basedOn w:val="Normal"/>
    <w:link w:val="CommentTextChar"/>
    <w:uiPriority w:val="99"/>
    <w:unhideWhenUsed/>
    <w:rsid w:val="00D85864"/>
    <w:rPr>
      <w:sz w:val="20"/>
      <w:szCs w:val="20"/>
    </w:rPr>
  </w:style>
  <w:style w:type="character" w:customStyle="1" w:styleId="CommentTextChar">
    <w:name w:val="Comment Text Char"/>
    <w:basedOn w:val="DefaultParagraphFont"/>
    <w:link w:val="CommentText"/>
    <w:uiPriority w:val="99"/>
    <w:rsid w:val="00D85864"/>
    <w:rPr>
      <w:sz w:val="20"/>
      <w:szCs w:val="20"/>
    </w:rPr>
  </w:style>
  <w:style w:type="paragraph" w:styleId="CommentSubject">
    <w:name w:val="annotation subject"/>
    <w:basedOn w:val="CommentText"/>
    <w:next w:val="CommentText"/>
    <w:link w:val="CommentSubjectChar"/>
    <w:uiPriority w:val="99"/>
    <w:semiHidden/>
    <w:unhideWhenUsed/>
    <w:rsid w:val="00D85864"/>
    <w:rPr>
      <w:b/>
      <w:bCs/>
    </w:rPr>
  </w:style>
  <w:style w:type="character" w:customStyle="1" w:styleId="CommentSubjectChar">
    <w:name w:val="Comment Subject Char"/>
    <w:basedOn w:val="CommentTextChar"/>
    <w:link w:val="CommentSubject"/>
    <w:uiPriority w:val="99"/>
    <w:semiHidden/>
    <w:rsid w:val="00D85864"/>
    <w:rPr>
      <w:b/>
      <w:bCs/>
      <w:sz w:val="20"/>
      <w:szCs w:val="20"/>
    </w:rPr>
  </w:style>
  <w:style w:type="character" w:customStyle="1" w:styleId="UnresolvedMention1">
    <w:name w:val="Unresolved Mention1"/>
    <w:basedOn w:val="DefaultParagraphFont"/>
    <w:uiPriority w:val="99"/>
    <w:semiHidden/>
    <w:unhideWhenUsed/>
    <w:rsid w:val="00DD1065"/>
    <w:rPr>
      <w:color w:val="605E5C"/>
      <w:shd w:val="clear" w:color="auto" w:fill="E1DFDD"/>
    </w:rPr>
  </w:style>
  <w:style w:type="paragraph" w:styleId="Header">
    <w:name w:val="header"/>
    <w:basedOn w:val="Normal"/>
    <w:link w:val="HeaderChar"/>
    <w:uiPriority w:val="99"/>
    <w:unhideWhenUsed/>
    <w:rsid w:val="005C5D8B"/>
    <w:pPr>
      <w:tabs>
        <w:tab w:val="center" w:pos="4680"/>
        <w:tab w:val="right" w:pos="9360"/>
      </w:tabs>
    </w:pPr>
  </w:style>
  <w:style w:type="character" w:customStyle="1" w:styleId="HeaderChar">
    <w:name w:val="Header Char"/>
    <w:basedOn w:val="DefaultParagraphFont"/>
    <w:link w:val="Header"/>
    <w:uiPriority w:val="99"/>
    <w:rsid w:val="005C5D8B"/>
  </w:style>
  <w:style w:type="paragraph" w:styleId="Footer">
    <w:name w:val="footer"/>
    <w:basedOn w:val="Normal"/>
    <w:link w:val="FooterChar"/>
    <w:uiPriority w:val="99"/>
    <w:unhideWhenUsed/>
    <w:rsid w:val="005C5D8B"/>
    <w:pPr>
      <w:tabs>
        <w:tab w:val="center" w:pos="4680"/>
        <w:tab w:val="right" w:pos="9360"/>
      </w:tabs>
    </w:pPr>
  </w:style>
  <w:style w:type="character" w:customStyle="1" w:styleId="FooterChar">
    <w:name w:val="Footer Char"/>
    <w:basedOn w:val="DefaultParagraphFont"/>
    <w:link w:val="Footer"/>
    <w:uiPriority w:val="99"/>
    <w:rsid w:val="005C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36428">
      <w:bodyDiv w:val="1"/>
      <w:marLeft w:val="0"/>
      <w:marRight w:val="0"/>
      <w:marTop w:val="0"/>
      <w:marBottom w:val="0"/>
      <w:divBdr>
        <w:top w:val="none" w:sz="0" w:space="0" w:color="auto"/>
        <w:left w:val="none" w:sz="0" w:space="0" w:color="auto"/>
        <w:bottom w:val="none" w:sz="0" w:space="0" w:color="auto"/>
        <w:right w:val="none" w:sz="0" w:space="0" w:color="auto"/>
      </w:divBdr>
    </w:div>
    <w:div w:id="818501183">
      <w:bodyDiv w:val="1"/>
      <w:marLeft w:val="0"/>
      <w:marRight w:val="0"/>
      <w:marTop w:val="0"/>
      <w:marBottom w:val="0"/>
      <w:divBdr>
        <w:top w:val="none" w:sz="0" w:space="0" w:color="auto"/>
        <w:left w:val="none" w:sz="0" w:space="0" w:color="auto"/>
        <w:bottom w:val="none" w:sz="0" w:space="0" w:color="auto"/>
        <w:right w:val="none" w:sz="0" w:space="0" w:color="auto"/>
      </w:divBdr>
    </w:div>
    <w:div w:id="845441120">
      <w:bodyDiv w:val="1"/>
      <w:marLeft w:val="0"/>
      <w:marRight w:val="0"/>
      <w:marTop w:val="0"/>
      <w:marBottom w:val="0"/>
      <w:divBdr>
        <w:top w:val="none" w:sz="0" w:space="0" w:color="auto"/>
        <w:left w:val="none" w:sz="0" w:space="0" w:color="auto"/>
        <w:bottom w:val="none" w:sz="0" w:space="0" w:color="auto"/>
        <w:right w:val="none" w:sz="0" w:space="0" w:color="auto"/>
      </w:divBdr>
    </w:div>
    <w:div w:id="1216350084">
      <w:bodyDiv w:val="1"/>
      <w:marLeft w:val="0"/>
      <w:marRight w:val="0"/>
      <w:marTop w:val="0"/>
      <w:marBottom w:val="0"/>
      <w:divBdr>
        <w:top w:val="none" w:sz="0" w:space="0" w:color="auto"/>
        <w:left w:val="none" w:sz="0" w:space="0" w:color="auto"/>
        <w:bottom w:val="none" w:sz="0" w:space="0" w:color="auto"/>
        <w:right w:val="none" w:sz="0" w:space="0" w:color="auto"/>
      </w:divBdr>
    </w:div>
    <w:div w:id="1327174619">
      <w:bodyDiv w:val="1"/>
      <w:marLeft w:val="0"/>
      <w:marRight w:val="0"/>
      <w:marTop w:val="0"/>
      <w:marBottom w:val="0"/>
      <w:divBdr>
        <w:top w:val="none" w:sz="0" w:space="0" w:color="auto"/>
        <w:left w:val="none" w:sz="0" w:space="0" w:color="auto"/>
        <w:bottom w:val="none" w:sz="0" w:space="0" w:color="auto"/>
        <w:right w:val="none" w:sz="0" w:space="0" w:color="auto"/>
      </w:divBdr>
    </w:div>
    <w:div w:id="1327905555">
      <w:bodyDiv w:val="1"/>
      <w:marLeft w:val="0"/>
      <w:marRight w:val="0"/>
      <w:marTop w:val="0"/>
      <w:marBottom w:val="0"/>
      <w:divBdr>
        <w:top w:val="none" w:sz="0" w:space="0" w:color="auto"/>
        <w:left w:val="none" w:sz="0" w:space="0" w:color="auto"/>
        <w:bottom w:val="none" w:sz="0" w:space="0" w:color="auto"/>
        <w:right w:val="none" w:sz="0" w:space="0" w:color="auto"/>
      </w:divBdr>
    </w:div>
    <w:div w:id="1350375099">
      <w:bodyDiv w:val="1"/>
      <w:marLeft w:val="0"/>
      <w:marRight w:val="0"/>
      <w:marTop w:val="0"/>
      <w:marBottom w:val="0"/>
      <w:divBdr>
        <w:top w:val="none" w:sz="0" w:space="0" w:color="auto"/>
        <w:left w:val="none" w:sz="0" w:space="0" w:color="auto"/>
        <w:bottom w:val="none" w:sz="0" w:space="0" w:color="auto"/>
        <w:right w:val="none" w:sz="0" w:space="0" w:color="auto"/>
      </w:divBdr>
    </w:div>
    <w:div w:id="1353071131">
      <w:bodyDiv w:val="1"/>
      <w:marLeft w:val="0"/>
      <w:marRight w:val="0"/>
      <w:marTop w:val="0"/>
      <w:marBottom w:val="0"/>
      <w:divBdr>
        <w:top w:val="none" w:sz="0" w:space="0" w:color="auto"/>
        <w:left w:val="none" w:sz="0" w:space="0" w:color="auto"/>
        <w:bottom w:val="none" w:sz="0" w:space="0" w:color="auto"/>
        <w:right w:val="none" w:sz="0" w:space="0" w:color="auto"/>
      </w:divBdr>
    </w:div>
    <w:div w:id="1424494621">
      <w:bodyDiv w:val="1"/>
      <w:marLeft w:val="0"/>
      <w:marRight w:val="0"/>
      <w:marTop w:val="0"/>
      <w:marBottom w:val="0"/>
      <w:divBdr>
        <w:top w:val="none" w:sz="0" w:space="0" w:color="auto"/>
        <w:left w:val="none" w:sz="0" w:space="0" w:color="auto"/>
        <w:bottom w:val="none" w:sz="0" w:space="0" w:color="auto"/>
        <w:right w:val="none" w:sz="0" w:space="0" w:color="auto"/>
      </w:divBdr>
    </w:div>
    <w:div w:id="1620843144">
      <w:bodyDiv w:val="1"/>
      <w:marLeft w:val="0"/>
      <w:marRight w:val="0"/>
      <w:marTop w:val="0"/>
      <w:marBottom w:val="0"/>
      <w:divBdr>
        <w:top w:val="none" w:sz="0" w:space="0" w:color="auto"/>
        <w:left w:val="none" w:sz="0" w:space="0" w:color="auto"/>
        <w:bottom w:val="none" w:sz="0" w:space="0" w:color="auto"/>
        <w:right w:val="none" w:sz="0" w:space="0" w:color="auto"/>
      </w:divBdr>
      <w:divsChild>
        <w:div w:id="47811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bcam.com/gshgssg-ratio-detection-assay-kitfluorometric-green-ab138881.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1282</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Bundesinstitut fuer Risikobewertung</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burgdorf</dc:creator>
  <cp:lastModifiedBy>Carole Yauk</cp:lastModifiedBy>
  <cp:revision>4</cp:revision>
  <dcterms:created xsi:type="dcterms:W3CDTF">2021-06-28T17:07:00Z</dcterms:created>
  <dcterms:modified xsi:type="dcterms:W3CDTF">2021-07-01T20:35:00Z</dcterms:modified>
</cp:coreProperties>
</file>