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83BB" w14:textId="77777777" w:rsidR="00326E1C" w:rsidRDefault="00326E1C" w:rsidP="00326E1C">
      <w:pPr>
        <w:jc w:val="center"/>
        <w:rPr>
          <w:b/>
          <w:lang w:val="en-US"/>
        </w:rPr>
      </w:pPr>
      <w:r w:rsidRPr="004E2959">
        <w:rPr>
          <w:b/>
          <w:lang w:val="en-US"/>
        </w:rPr>
        <w:t>Request for endorsement by written procedure of four Adverse Outcome Pathways (AOPs) – sent to the WNT and WPHA with the deadline of 16 June 2021</w:t>
      </w:r>
    </w:p>
    <w:p w14:paraId="588A59ED" w14:textId="77777777" w:rsidR="00326E1C" w:rsidRPr="004E2959" w:rsidRDefault="00326E1C" w:rsidP="00326E1C">
      <w:pPr>
        <w:jc w:val="center"/>
        <w:rPr>
          <w:b/>
          <w:lang w:val="en-US"/>
        </w:rPr>
      </w:pPr>
    </w:p>
    <w:p w14:paraId="4EA8AD64" w14:textId="6AEFA9E7" w:rsidR="00326E1C" w:rsidRDefault="00326E1C" w:rsidP="00326E1C">
      <w:pPr>
        <w:jc w:val="center"/>
        <w:rPr>
          <w:b/>
          <w:lang w:val="en-US"/>
        </w:rPr>
      </w:pPr>
      <w:r w:rsidRPr="004E2959">
        <w:rPr>
          <w:b/>
          <w:lang w:val="en-US"/>
        </w:rPr>
        <w:t>Responses received from Germany</w:t>
      </w:r>
      <w:r>
        <w:rPr>
          <w:b/>
          <w:lang w:val="en-US"/>
        </w:rPr>
        <w:t xml:space="preserve"> on AOP 212</w:t>
      </w:r>
    </w:p>
    <w:p w14:paraId="3810BC6E" w14:textId="77777777" w:rsidR="00326E1C" w:rsidRPr="004E2959" w:rsidRDefault="00326E1C" w:rsidP="00326E1C">
      <w:pPr>
        <w:jc w:val="center"/>
        <w:rPr>
          <w:b/>
          <w:lang w:val="en-US"/>
        </w:rPr>
      </w:pPr>
    </w:p>
    <w:p w14:paraId="06C7A98F" w14:textId="77777777" w:rsidR="00326E1C" w:rsidRDefault="00326E1C">
      <w:pPr>
        <w:rPr>
          <w:b/>
          <w:lang w:val="en-US"/>
        </w:rPr>
      </w:pPr>
    </w:p>
    <w:p w14:paraId="7E9D615E" w14:textId="4AE67948" w:rsidR="009060C8" w:rsidRDefault="00AF3FF5">
      <w:pPr>
        <w:rPr>
          <w:b/>
          <w:lang w:val="en-US"/>
        </w:rPr>
      </w:pPr>
      <w:r w:rsidRPr="00A46DCD">
        <w:rPr>
          <w:b/>
          <w:lang w:val="en-US"/>
        </w:rPr>
        <w:t xml:space="preserve">AOP </w:t>
      </w:r>
      <w:r w:rsidR="00D446E1">
        <w:rPr>
          <w:b/>
          <w:lang w:val="en-US"/>
        </w:rPr>
        <w:t>212</w:t>
      </w:r>
    </w:p>
    <w:p w14:paraId="76AD610F" w14:textId="77777777" w:rsidR="00D446E1" w:rsidRDefault="00D446E1">
      <w:pPr>
        <w:rPr>
          <w:b/>
          <w:lang w:val="en-US"/>
        </w:rPr>
      </w:pPr>
    </w:p>
    <w:p w14:paraId="74717DD9" w14:textId="77777777" w:rsidR="006F5A00" w:rsidRDefault="006F5A00">
      <w:pPr>
        <w:rPr>
          <w:b/>
          <w:lang w:val="en-US"/>
        </w:rPr>
      </w:pPr>
      <w:r>
        <w:rPr>
          <w:b/>
          <w:lang w:val="en-US"/>
        </w:rPr>
        <w:t>p. 4</w:t>
      </w:r>
    </w:p>
    <w:p w14:paraId="40F5E259" w14:textId="77777777" w:rsidR="006F5A00" w:rsidRDefault="006F5A00">
      <w:pPr>
        <w:rPr>
          <w:b/>
          <w:lang w:val="en-US"/>
        </w:rPr>
      </w:pPr>
      <w:r>
        <w:rPr>
          <w:b/>
          <w:lang w:val="en-US"/>
        </w:rPr>
        <w:t>overall assessment of the AOP</w:t>
      </w:r>
    </w:p>
    <w:p w14:paraId="33F93531" w14:textId="77777777" w:rsidR="006F5A00" w:rsidRPr="006F5A00" w:rsidRDefault="006F5A00">
      <w:pPr>
        <w:rPr>
          <w:b/>
          <w:lang w:val="en-US"/>
        </w:rPr>
      </w:pPr>
      <w:r w:rsidRPr="006F5A00">
        <w:rPr>
          <w:b/>
          <w:lang w:val="en-US"/>
        </w:rPr>
        <w:t>2-Methoxyacetic acid</w:t>
      </w:r>
      <w:r w:rsidRPr="006F5A00">
        <w:rPr>
          <w:lang w:val="en-US"/>
        </w:rPr>
        <w:t xml:space="preserve"> (MAA) –</w:t>
      </w:r>
      <w:r w:rsidRPr="00953967">
        <w:rPr>
          <w:color w:val="0070C0"/>
          <w:lang w:val="en-US"/>
        </w:rPr>
        <w:t>Abbreviation was not introduced yet</w:t>
      </w:r>
    </w:p>
    <w:p w14:paraId="7A7A6FDD" w14:textId="132EADA1" w:rsidR="006F5A00" w:rsidRDefault="00F62041">
      <w:pPr>
        <w:rPr>
          <w:b/>
          <w:lang w:val="en-US"/>
        </w:rPr>
      </w:pPr>
      <w:r w:rsidRPr="00F62041">
        <w:rPr>
          <w:rFonts w:hint="eastAsia"/>
          <w:b/>
          <w:highlight w:val="yellow"/>
          <w:lang w:val="en-US"/>
        </w:rPr>
        <w:t>A</w:t>
      </w:r>
      <w:r w:rsidRPr="00F62041">
        <w:rPr>
          <w:b/>
          <w:highlight w:val="yellow"/>
          <w:lang w:val="en-US"/>
        </w:rPr>
        <w:t>bbreviation has been added</w:t>
      </w:r>
      <w:r w:rsidR="00286CB1">
        <w:rPr>
          <w:b/>
          <w:highlight w:val="yellow"/>
          <w:lang w:val="en-US"/>
        </w:rPr>
        <w:t xml:space="preserve"> in Abstract</w:t>
      </w:r>
      <w:r w:rsidRPr="00F62041">
        <w:rPr>
          <w:b/>
          <w:highlight w:val="yellow"/>
          <w:lang w:val="en-US"/>
        </w:rPr>
        <w:t>.</w:t>
      </w:r>
    </w:p>
    <w:p w14:paraId="68C5739B" w14:textId="77777777" w:rsidR="00F62041" w:rsidRDefault="00F62041">
      <w:pPr>
        <w:rPr>
          <w:b/>
          <w:lang w:val="en-US"/>
        </w:rPr>
      </w:pPr>
    </w:p>
    <w:p w14:paraId="46227409" w14:textId="77777777" w:rsidR="00D446E1" w:rsidRDefault="00D446E1">
      <w:pPr>
        <w:rPr>
          <w:b/>
          <w:lang w:val="en-US"/>
        </w:rPr>
      </w:pPr>
      <w:r>
        <w:rPr>
          <w:b/>
          <w:lang w:val="en-US"/>
        </w:rPr>
        <w:t>p. 8</w:t>
      </w:r>
    </w:p>
    <w:p w14:paraId="32CA55C3" w14:textId="77777777" w:rsidR="00D446E1" w:rsidRDefault="00D446E1" w:rsidP="00D446E1">
      <w:pPr>
        <w:pStyle w:val="a6"/>
        <w:numPr>
          <w:ilvl w:val="0"/>
          <w:numId w:val="1"/>
        </w:numPr>
        <w:rPr>
          <w:lang w:val="en-US"/>
        </w:rPr>
      </w:pPr>
      <w:r w:rsidRPr="00D446E1">
        <w:rPr>
          <w:lang w:val="en-US"/>
        </w:rPr>
        <w:t xml:space="preserve">MAA induces decrease in deoxynucleotide pool, resulting </w:t>
      </w:r>
      <w:r w:rsidRPr="00D446E1">
        <w:rPr>
          <w:b/>
          <w:lang w:val="en-US"/>
        </w:rPr>
        <w:t xml:space="preserve">in </w:t>
      </w:r>
      <w:r w:rsidRPr="00D446E1">
        <w:rPr>
          <w:lang w:val="en-US"/>
        </w:rPr>
        <w:t>apoptosis</w:t>
      </w:r>
    </w:p>
    <w:p w14:paraId="1748E12D" w14:textId="77777777" w:rsidR="00D446E1" w:rsidRDefault="00D446E1" w:rsidP="00D446E1">
      <w:pPr>
        <w:pStyle w:val="a6"/>
        <w:numPr>
          <w:ilvl w:val="0"/>
          <w:numId w:val="1"/>
        </w:numPr>
        <w:rPr>
          <w:lang w:val="en-US"/>
        </w:rPr>
      </w:pPr>
      <w:r w:rsidRPr="00D446E1">
        <w:rPr>
          <w:lang w:val="en-US"/>
        </w:rPr>
        <w:t>Inhibition of 5,10-CH</w:t>
      </w:r>
      <w:r w:rsidRPr="00D446E1">
        <w:rPr>
          <w:sz w:val="14"/>
          <w:szCs w:val="14"/>
          <w:lang w:val="en-US"/>
        </w:rPr>
        <w:t>2</w:t>
      </w:r>
      <w:r w:rsidRPr="00D446E1">
        <w:rPr>
          <w:lang w:val="en-US"/>
        </w:rPr>
        <w:t>-THF production by MAA may decrease</w:t>
      </w:r>
      <w:r w:rsidRPr="00D446E1">
        <w:rPr>
          <w:b/>
          <w:strike/>
          <w:lang w:val="en-US"/>
        </w:rPr>
        <w:t>s</w:t>
      </w:r>
      <w:r w:rsidRPr="00D446E1">
        <w:rPr>
          <w:lang w:val="en-US"/>
        </w:rPr>
        <w:t xml:space="preserve"> deoxynucleotide pool in spermatocytes</w:t>
      </w:r>
    </w:p>
    <w:p w14:paraId="61F32BD3" w14:textId="77777777" w:rsidR="000C4A8C" w:rsidRDefault="000C4A8C" w:rsidP="00D446E1">
      <w:pPr>
        <w:pStyle w:val="a6"/>
        <w:numPr>
          <w:ilvl w:val="0"/>
          <w:numId w:val="1"/>
        </w:numPr>
        <w:rPr>
          <w:lang w:val="en-US"/>
        </w:rPr>
      </w:pPr>
      <w:r w:rsidRPr="000C4A8C">
        <w:rPr>
          <w:lang w:val="en-US"/>
        </w:rPr>
        <w:t xml:space="preserve">The present AOP can be used in risk assessment of several types of </w:t>
      </w:r>
      <w:r w:rsidRPr="000C4A8C">
        <w:rPr>
          <w:b/>
          <w:strike/>
          <w:lang w:val="en-US"/>
        </w:rPr>
        <w:t>the</w:t>
      </w:r>
      <w:r w:rsidRPr="000C4A8C">
        <w:rPr>
          <w:lang w:val="en-US"/>
        </w:rPr>
        <w:t xml:space="preserve"> molecules including HDAC inhibitors as </w:t>
      </w:r>
      <w:r w:rsidRPr="000C4A8C">
        <w:rPr>
          <w:b/>
          <w:strike/>
          <w:lang w:val="en-US"/>
        </w:rPr>
        <w:t>the</w:t>
      </w:r>
      <w:r w:rsidRPr="000C4A8C">
        <w:rPr>
          <w:lang w:val="en-US"/>
        </w:rPr>
        <w:t xml:space="preserve"> anti-cancer drugs, as well as </w:t>
      </w:r>
      <w:r w:rsidRPr="000C4A8C">
        <w:rPr>
          <w:b/>
          <w:strike/>
          <w:lang w:val="en-US"/>
        </w:rPr>
        <w:t>an</w:t>
      </w:r>
      <w:r w:rsidRPr="000C4A8C">
        <w:rPr>
          <w:lang w:val="en-US"/>
        </w:rPr>
        <w:t xml:space="preserve">other types of </w:t>
      </w:r>
      <w:r w:rsidRPr="000C4A8C">
        <w:rPr>
          <w:b/>
          <w:strike/>
          <w:lang w:val="en-US"/>
        </w:rPr>
        <w:t>the</w:t>
      </w:r>
      <w:r w:rsidRPr="000C4A8C">
        <w:rPr>
          <w:lang w:val="en-US"/>
        </w:rPr>
        <w:t xml:space="preserve"> chemicals, in terms of testicular toxicity</w:t>
      </w:r>
    </w:p>
    <w:p w14:paraId="48E52B7F" w14:textId="00C7B37D" w:rsidR="00E10583" w:rsidRDefault="00E10583" w:rsidP="00D446E1">
      <w:pPr>
        <w:pStyle w:val="a6"/>
        <w:numPr>
          <w:ilvl w:val="0"/>
          <w:numId w:val="1"/>
        </w:numPr>
        <w:rPr>
          <w:lang w:val="en-US"/>
        </w:rPr>
      </w:pPr>
      <w:r w:rsidRPr="00E10583">
        <w:rPr>
          <w:lang w:val="en-US"/>
        </w:rPr>
        <w:t xml:space="preserve">This AOP elucidating the pathway from HDAC inhibition to testicular atrophy may </w:t>
      </w:r>
      <w:proofErr w:type="spellStart"/>
      <w:r w:rsidRPr="00E10583">
        <w:rPr>
          <w:lang w:val="en-US"/>
        </w:rPr>
        <w:t>provide</w:t>
      </w:r>
      <w:r w:rsidRPr="00E10583">
        <w:rPr>
          <w:b/>
          <w:strike/>
          <w:lang w:val="en-US"/>
        </w:rPr>
        <w:t>s</w:t>
      </w:r>
      <w:proofErr w:type="spellEnd"/>
      <w:r w:rsidRPr="00E10583">
        <w:rPr>
          <w:lang w:val="en-US"/>
        </w:rPr>
        <w:t xml:space="preserve"> important insights</w:t>
      </w:r>
    </w:p>
    <w:p w14:paraId="083D6628" w14:textId="63CED1AC" w:rsidR="00286CB1" w:rsidRDefault="00B23A18" w:rsidP="00B23A18">
      <w:pPr>
        <w:pStyle w:val="a6"/>
        <w:numPr>
          <w:ilvl w:val="0"/>
          <w:numId w:val="13"/>
        </w:numPr>
        <w:rPr>
          <w:highlight w:val="yellow"/>
          <w:lang w:val="en-US"/>
        </w:rPr>
      </w:pPr>
      <w:r w:rsidRPr="00B23A18">
        <w:rPr>
          <w:highlight w:val="yellow"/>
          <w:lang w:val="en-US"/>
        </w:rPr>
        <w:t>Thank you so much for th</w:t>
      </w:r>
      <w:r>
        <w:rPr>
          <w:highlight w:val="yellow"/>
          <w:lang w:val="en-US"/>
        </w:rPr>
        <w:t xml:space="preserve">e considerable </w:t>
      </w:r>
      <w:r w:rsidRPr="00B23A18">
        <w:rPr>
          <w:highlight w:val="yellow"/>
          <w:lang w:val="en-US"/>
        </w:rPr>
        <w:t>proofreading. Grammatical errors including the comments above have been corrected.</w:t>
      </w:r>
      <w:r w:rsidR="00553C9C">
        <w:rPr>
          <w:highlight w:val="yellow"/>
          <w:lang w:val="en-US"/>
        </w:rPr>
        <w:t xml:space="preserve"> (p. 5</w:t>
      </w:r>
      <w:r w:rsidR="00A72334">
        <w:rPr>
          <w:highlight w:val="yellow"/>
          <w:lang w:val="en-US"/>
        </w:rPr>
        <w:t>-6</w:t>
      </w:r>
      <w:r w:rsidR="00553C9C">
        <w:rPr>
          <w:highlight w:val="yellow"/>
          <w:lang w:val="en-US"/>
        </w:rPr>
        <w:t xml:space="preserve">/35 in AOP </w:t>
      </w:r>
      <w:r w:rsidR="00DC27FB">
        <w:rPr>
          <w:highlight w:val="yellow"/>
          <w:lang w:val="en-US"/>
        </w:rPr>
        <w:t>S</w:t>
      </w:r>
      <w:r w:rsidR="00553C9C">
        <w:rPr>
          <w:highlight w:val="yellow"/>
          <w:lang w:val="en-US"/>
        </w:rPr>
        <w:t>napshot</w:t>
      </w:r>
      <w:r w:rsidR="00A72334">
        <w:rPr>
          <w:highlight w:val="yellow"/>
          <w:lang w:val="en-US"/>
        </w:rPr>
        <w:t xml:space="preserve"> 212-2021-07-02T02_03</w:t>
      </w:r>
      <w:r w:rsidR="00553C9C">
        <w:rPr>
          <w:highlight w:val="yellow"/>
          <w:lang w:val="en-US"/>
        </w:rPr>
        <w:t>)</w:t>
      </w:r>
    </w:p>
    <w:p w14:paraId="4DC4A776" w14:textId="77777777" w:rsidR="00D214F2" w:rsidRPr="00B23A18" w:rsidRDefault="00D214F2" w:rsidP="00D214F2">
      <w:pPr>
        <w:pStyle w:val="a6"/>
        <w:ind w:left="1080"/>
        <w:rPr>
          <w:highlight w:val="yellow"/>
          <w:lang w:val="en-US"/>
        </w:rPr>
      </w:pPr>
    </w:p>
    <w:p w14:paraId="1AC28BEB" w14:textId="77777777" w:rsidR="000E6ED2" w:rsidRPr="000E6ED2" w:rsidRDefault="000E6ED2" w:rsidP="000E6ED2">
      <w:pPr>
        <w:rPr>
          <w:b/>
          <w:bCs/>
          <w:lang w:val="en-US"/>
        </w:rPr>
      </w:pPr>
      <w:r w:rsidRPr="000E6ED2">
        <w:rPr>
          <w:b/>
          <w:bCs/>
          <w:lang w:val="en-US"/>
        </w:rPr>
        <w:t>Considerations for Potential Applications of the AOP</w:t>
      </w:r>
    </w:p>
    <w:p w14:paraId="347E759D" w14:textId="0B109F67" w:rsidR="000E6ED2" w:rsidRPr="00077CB0" w:rsidRDefault="000E6ED2" w:rsidP="000E6ED2">
      <w:pPr>
        <w:pStyle w:val="a6"/>
        <w:numPr>
          <w:ilvl w:val="0"/>
          <w:numId w:val="2"/>
        </w:numPr>
        <w:rPr>
          <w:lang w:val="en-US"/>
        </w:rPr>
      </w:pPr>
      <w:r w:rsidRPr="00077CB0">
        <w:rPr>
          <w:lang w:val="en-US"/>
        </w:rPr>
        <w:t>Applications are only discussed regarding the pharmaceutical sector, how will the AOP be useful risk assessment</w:t>
      </w:r>
      <w:r w:rsidR="007B033E" w:rsidRPr="00077CB0">
        <w:rPr>
          <w:lang w:val="en-US"/>
        </w:rPr>
        <w:t xml:space="preserve"> of chemicals, biocides or pesticides</w:t>
      </w:r>
      <w:r w:rsidRPr="00077CB0">
        <w:rPr>
          <w:lang w:val="en-US"/>
        </w:rPr>
        <w:t>?</w:t>
      </w:r>
    </w:p>
    <w:p w14:paraId="17BFDE67" w14:textId="3FC269A3" w:rsidR="006C5921" w:rsidRPr="00C774B7" w:rsidRDefault="006735D9" w:rsidP="006C5921">
      <w:pPr>
        <w:pStyle w:val="a6"/>
        <w:rPr>
          <w:highlight w:val="yellow"/>
          <w:lang w:val="en-US"/>
        </w:rPr>
      </w:pPr>
      <w:r w:rsidRPr="00C774B7">
        <w:rPr>
          <w:highlight w:val="yellow"/>
          <w:lang w:val="en-US"/>
        </w:rPr>
        <w:sym w:font="Wingdings" w:char="F0E0"/>
      </w:r>
      <w:r w:rsidRPr="00C774B7">
        <w:rPr>
          <w:highlight w:val="yellow"/>
          <w:lang w:val="en-US"/>
        </w:rPr>
        <w:t xml:space="preserve"> Following sentences have been added in terms of the risk assessment of chemicals, biocides or pesticides in the Potential Application</w:t>
      </w:r>
      <w:r w:rsidR="00A12CC8">
        <w:rPr>
          <w:highlight w:val="yellow"/>
          <w:lang w:val="en-US"/>
        </w:rPr>
        <w:t>s</w:t>
      </w:r>
      <w:r w:rsidRPr="00C774B7">
        <w:rPr>
          <w:highlight w:val="yellow"/>
          <w:lang w:val="en-US"/>
        </w:rPr>
        <w:t xml:space="preserve"> of the AOP:</w:t>
      </w:r>
    </w:p>
    <w:p w14:paraId="69BF4B1E" w14:textId="0B8EC9F3" w:rsidR="008C0D18" w:rsidRDefault="006735D9" w:rsidP="006C5921">
      <w:pPr>
        <w:pStyle w:val="a6"/>
        <w:rPr>
          <w:highlight w:val="yellow"/>
          <w:lang w:val="en-US" w:eastAsia="ja-JP"/>
        </w:rPr>
      </w:pPr>
      <w:r w:rsidRPr="00C774B7">
        <w:rPr>
          <w:highlight w:val="yellow"/>
          <w:lang w:val="en-US"/>
        </w:rPr>
        <w:t>“</w:t>
      </w:r>
      <w:r w:rsidR="00B1121D" w:rsidRPr="00C774B7">
        <w:rPr>
          <w:highlight w:val="yellow"/>
          <w:lang w:val="en-US"/>
        </w:rPr>
        <w:t xml:space="preserve">The AOP may be useful for the risk assessment of chemicals, since </w:t>
      </w:r>
      <w:r w:rsidR="00740F5A">
        <w:rPr>
          <w:highlight w:val="yellow"/>
          <w:lang w:val="en-US"/>
        </w:rPr>
        <w:t xml:space="preserve">possible applications of </w:t>
      </w:r>
      <w:r w:rsidR="00B1121D" w:rsidRPr="00C774B7">
        <w:rPr>
          <w:highlight w:val="yellow"/>
          <w:lang w:val="en-US"/>
        </w:rPr>
        <w:t xml:space="preserve">HDAC inhibitors </w:t>
      </w:r>
      <w:r w:rsidR="00740F5A">
        <w:rPr>
          <w:highlight w:val="yellow"/>
          <w:lang w:val="en-US"/>
        </w:rPr>
        <w:t>include</w:t>
      </w:r>
      <w:r w:rsidR="00B1121D" w:rsidRPr="00C774B7">
        <w:rPr>
          <w:highlight w:val="yellow"/>
          <w:lang w:val="en-US" w:eastAsia="ja-JP"/>
        </w:rPr>
        <w:t xml:space="preserve"> </w:t>
      </w:r>
      <w:r w:rsidR="00F0147F" w:rsidRPr="00C774B7">
        <w:rPr>
          <w:highlight w:val="yellow"/>
          <w:lang w:val="en-US" w:eastAsia="ja-JP"/>
        </w:rPr>
        <w:t xml:space="preserve">the </w:t>
      </w:r>
      <w:r w:rsidR="00B1121D" w:rsidRPr="00C774B7">
        <w:rPr>
          <w:highlight w:val="yellow"/>
          <w:lang w:val="en-US" w:eastAsia="ja-JP"/>
        </w:rPr>
        <w:t>enhancement of salinity tolerance to increase agricultural sustainability.</w:t>
      </w:r>
      <w:r w:rsidR="00F0147F" w:rsidRPr="00C774B7">
        <w:rPr>
          <w:highlight w:val="yellow"/>
          <w:lang w:val="en-US" w:eastAsia="ja-JP"/>
        </w:rPr>
        <w:t xml:space="preserve"> </w:t>
      </w:r>
      <w:r w:rsidR="00740F5A">
        <w:rPr>
          <w:highlight w:val="yellow"/>
          <w:lang w:val="en-US" w:eastAsia="ja-JP"/>
        </w:rPr>
        <w:t>O</w:t>
      </w:r>
      <w:r w:rsidR="00C774B7" w:rsidRPr="00C774B7">
        <w:rPr>
          <w:highlight w:val="yellow"/>
          <w:lang w:val="en-US" w:eastAsia="ja-JP"/>
        </w:rPr>
        <w:t>ther</w:t>
      </w:r>
      <w:r w:rsidR="00F0147F" w:rsidRPr="00C774B7">
        <w:rPr>
          <w:highlight w:val="yellow"/>
          <w:lang w:val="en-US" w:eastAsia="ja-JP"/>
        </w:rPr>
        <w:t xml:space="preserve"> </w:t>
      </w:r>
      <w:r w:rsidR="00C774B7" w:rsidRPr="00C774B7">
        <w:rPr>
          <w:highlight w:val="yellow"/>
          <w:lang w:val="en-US" w:eastAsia="ja-JP"/>
        </w:rPr>
        <w:t>potential applications of the AOP include the risk assessment of biocides or pesticides, considering that HDAC inhibitors are being investigated as insecticides or</w:t>
      </w:r>
      <w:r w:rsidR="00672EAF">
        <w:rPr>
          <w:highlight w:val="yellow"/>
          <w:lang w:val="en-US" w:eastAsia="ja-JP"/>
        </w:rPr>
        <w:t xml:space="preserve"> </w:t>
      </w:r>
      <w:proofErr w:type="spellStart"/>
      <w:r w:rsidR="00672EAF">
        <w:rPr>
          <w:highlight w:val="yellow"/>
          <w:lang w:val="en-US" w:eastAsia="ja-JP"/>
        </w:rPr>
        <w:t>amoebicides</w:t>
      </w:r>
      <w:proofErr w:type="spellEnd"/>
      <w:r w:rsidR="008C0D18">
        <w:rPr>
          <w:highlight w:val="yellow"/>
          <w:lang w:val="en-US" w:eastAsia="ja-JP"/>
        </w:rPr>
        <w:t xml:space="preserve"> [Bagnall et al., 2017</w:t>
      </w:r>
      <w:r w:rsidR="00F43DDA">
        <w:rPr>
          <w:highlight w:val="yellow"/>
          <w:lang w:val="en-US" w:eastAsia="ja-JP"/>
        </w:rPr>
        <w:t>;</w:t>
      </w:r>
      <w:r w:rsidR="008C0D18">
        <w:rPr>
          <w:highlight w:val="yellow"/>
          <w:lang w:val="en-US" w:eastAsia="ja-JP"/>
        </w:rPr>
        <w:t xml:space="preserve"> Lee et al., 2020]</w:t>
      </w:r>
      <w:r w:rsidR="00672EAF">
        <w:rPr>
          <w:highlight w:val="yellow"/>
          <w:lang w:val="en-US" w:eastAsia="ja-JP"/>
        </w:rPr>
        <w:t>.</w:t>
      </w:r>
      <w:r w:rsidR="008C0D18">
        <w:rPr>
          <w:highlight w:val="yellow"/>
          <w:lang w:val="en-US" w:eastAsia="ja-JP"/>
        </w:rPr>
        <w:t>”</w:t>
      </w:r>
      <w:r w:rsidR="00A72334" w:rsidRPr="00A72334">
        <w:rPr>
          <w:highlight w:val="yellow"/>
          <w:lang w:val="en-US"/>
        </w:rPr>
        <w:t xml:space="preserve"> </w:t>
      </w:r>
      <w:r w:rsidR="00A72334">
        <w:rPr>
          <w:highlight w:val="yellow"/>
          <w:lang w:val="en-US"/>
        </w:rPr>
        <w:t xml:space="preserve">(p. </w:t>
      </w:r>
      <w:r w:rsidR="00A72334">
        <w:rPr>
          <w:highlight w:val="yellow"/>
          <w:lang w:val="en-US"/>
        </w:rPr>
        <w:t>6</w:t>
      </w:r>
      <w:r w:rsidR="00A72334">
        <w:rPr>
          <w:highlight w:val="yellow"/>
          <w:lang w:val="en-US"/>
        </w:rPr>
        <w:t>/35 in AOP Snapshot 212-2021-07-02T02_03)</w:t>
      </w:r>
    </w:p>
    <w:p w14:paraId="53C058F1" w14:textId="77777777" w:rsidR="008C0D18" w:rsidRDefault="008C0D18" w:rsidP="006C5921">
      <w:pPr>
        <w:pStyle w:val="a6"/>
        <w:rPr>
          <w:highlight w:val="yellow"/>
          <w:lang w:val="en-US" w:eastAsia="ja-JP"/>
        </w:rPr>
      </w:pPr>
    </w:p>
    <w:p w14:paraId="59E22C92" w14:textId="529880DD" w:rsidR="006735D9" w:rsidRPr="00C774B7" w:rsidRDefault="008C0D18" w:rsidP="006C5921">
      <w:pPr>
        <w:pStyle w:val="a6"/>
        <w:rPr>
          <w:highlight w:val="yellow"/>
          <w:lang w:val="en-US" w:eastAsia="ja-JP"/>
        </w:rPr>
      </w:pPr>
      <w:r>
        <w:rPr>
          <w:highlight w:val="yellow"/>
          <w:lang w:val="en-US" w:eastAsia="ja-JP"/>
        </w:rPr>
        <w:t>References added:</w:t>
      </w:r>
      <w:r w:rsidR="00C774B7" w:rsidRPr="00C774B7">
        <w:rPr>
          <w:highlight w:val="yellow"/>
          <w:lang w:val="en-US" w:eastAsia="ja-JP"/>
        </w:rPr>
        <w:t xml:space="preserve"> </w:t>
      </w:r>
    </w:p>
    <w:p w14:paraId="1DD80FE9" w14:textId="50DA4EFB" w:rsidR="00F0147F" w:rsidRPr="00F0147F" w:rsidRDefault="00F0147F" w:rsidP="00F0147F">
      <w:pPr>
        <w:pStyle w:val="a6"/>
        <w:rPr>
          <w:lang w:val="en-US" w:eastAsia="ja-JP"/>
        </w:rPr>
      </w:pPr>
      <w:r w:rsidRPr="00F0147F">
        <w:rPr>
          <w:highlight w:val="yellow"/>
          <w:lang w:val="en-US" w:eastAsia="ja-JP"/>
        </w:rPr>
        <w:t xml:space="preserve">Bagnall, N. H., Hines, B. M., </w:t>
      </w:r>
      <w:proofErr w:type="spellStart"/>
      <w:r w:rsidRPr="00F0147F">
        <w:rPr>
          <w:highlight w:val="yellow"/>
          <w:lang w:val="en-US" w:eastAsia="ja-JP"/>
        </w:rPr>
        <w:t>Lucke</w:t>
      </w:r>
      <w:proofErr w:type="spellEnd"/>
      <w:r w:rsidRPr="00F0147F">
        <w:rPr>
          <w:highlight w:val="yellow"/>
          <w:lang w:val="en-US" w:eastAsia="ja-JP"/>
        </w:rPr>
        <w:t xml:space="preserve">, A. J., Gupta, P. K., Reid, R. C., </w:t>
      </w:r>
      <w:proofErr w:type="spellStart"/>
      <w:r w:rsidRPr="00F0147F">
        <w:rPr>
          <w:highlight w:val="yellow"/>
          <w:lang w:val="en-US" w:eastAsia="ja-JP"/>
        </w:rPr>
        <w:t>Fairlie</w:t>
      </w:r>
      <w:proofErr w:type="spellEnd"/>
      <w:r w:rsidRPr="00F0147F">
        <w:rPr>
          <w:highlight w:val="yellow"/>
          <w:lang w:val="en-US" w:eastAsia="ja-JP"/>
        </w:rPr>
        <w:t xml:space="preserve">, D. P., &amp; Kotze, A. C. (2017). Insecticidal activities of histone deacetylase inhibitors against a dipteran parasite of sheep, </w:t>
      </w:r>
      <w:proofErr w:type="spellStart"/>
      <w:r w:rsidRPr="00F0147F">
        <w:rPr>
          <w:highlight w:val="yellow"/>
          <w:lang w:val="en-US" w:eastAsia="ja-JP"/>
        </w:rPr>
        <w:t>Lucilia</w:t>
      </w:r>
      <w:proofErr w:type="spellEnd"/>
      <w:r w:rsidRPr="00F0147F">
        <w:rPr>
          <w:highlight w:val="yellow"/>
          <w:lang w:val="en-US" w:eastAsia="ja-JP"/>
        </w:rPr>
        <w:t xml:space="preserve"> </w:t>
      </w:r>
      <w:proofErr w:type="spellStart"/>
      <w:r w:rsidRPr="00F0147F">
        <w:rPr>
          <w:highlight w:val="yellow"/>
          <w:lang w:val="en-US" w:eastAsia="ja-JP"/>
        </w:rPr>
        <w:t>cuprina</w:t>
      </w:r>
      <w:proofErr w:type="spellEnd"/>
      <w:r w:rsidRPr="00F0147F">
        <w:rPr>
          <w:highlight w:val="yellow"/>
          <w:lang w:val="en-US" w:eastAsia="ja-JP"/>
        </w:rPr>
        <w:t>. </w:t>
      </w:r>
      <w:r w:rsidRPr="00F0147F">
        <w:rPr>
          <w:i/>
          <w:iCs/>
          <w:highlight w:val="yellow"/>
          <w:lang w:val="en-US" w:eastAsia="ja-JP"/>
        </w:rPr>
        <w:t xml:space="preserve">International </w:t>
      </w:r>
      <w:r w:rsidR="00016A1C">
        <w:rPr>
          <w:i/>
          <w:iCs/>
          <w:highlight w:val="yellow"/>
          <w:lang w:val="en-US" w:eastAsia="ja-JP"/>
        </w:rPr>
        <w:t>J</w:t>
      </w:r>
      <w:r w:rsidRPr="00F0147F">
        <w:rPr>
          <w:i/>
          <w:iCs/>
          <w:highlight w:val="yellow"/>
          <w:lang w:val="en-US" w:eastAsia="ja-JP"/>
        </w:rPr>
        <w:t xml:space="preserve">ournal for </w:t>
      </w:r>
      <w:r w:rsidR="00016A1C">
        <w:rPr>
          <w:i/>
          <w:iCs/>
          <w:highlight w:val="yellow"/>
          <w:lang w:val="en-US" w:eastAsia="ja-JP"/>
        </w:rPr>
        <w:t>P</w:t>
      </w:r>
      <w:r w:rsidRPr="00F0147F">
        <w:rPr>
          <w:i/>
          <w:iCs/>
          <w:highlight w:val="yellow"/>
          <w:lang w:val="en-US" w:eastAsia="ja-JP"/>
        </w:rPr>
        <w:t>arasitology</w:t>
      </w:r>
      <w:r w:rsidR="00E109AE">
        <w:rPr>
          <w:i/>
          <w:iCs/>
          <w:highlight w:val="yellow"/>
          <w:lang w:val="en-US" w:eastAsia="ja-JP"/>
        </w:rPr>
        <w:t>:</w:t>
      </w:r>
      <w:r w:rsidRPr="00F0147F">
        <w:rPr>
          <w:i/>
          <w:iCs/>
          <w:highlight w:val="yellow"/>
          <w:lang w:val="en-US" w:eastAsia="ja-JP"/>
        </w:rPr>
        <w:t xml:space="preserve"> Drugs and </w:t>
      </w:r>
      <w:r w:rsidR="00016A1C">
        <w:rPr>
          <w:i/>
          <w:iCs/>
          <w:highlight w:val="yellow"/>
          <w:lang w:val="en-US" w:eastAsia="ja-JP"/>
        </w:rPr>
        <w:t>D</w:t>
      </w:r>
      <w:r w:rsidRPr="00F0147F">
        <w:rPr>
          <w:i/>
          <w:iCs/>
          <w:highlight w:val="yellow"/>
          <w:lang w:val="en-US" w:eastAsia="ja-JP"/>
        </w:rPr>
        <w:t xml:space="preserve">rug </w:t>
      </w:r>
      <w:r w:rsidR="00016A1C">
        <w:rPr>
          <w:i/>
          <w:iCs/>
          <w:highlight w:val="yellow"/>
          <w:lang w:val="en-US" w:eastAsia="ja-JP"/>
        </w:rPr>
        <w:t>R</w:t>
      </w:r>
      <w:r w:rsidRPr="00F0147F">
        <w:rPr>
          <w:i/>
          <w:iCs/>
          <w:highlight w:val="yellow"/>
          <w:lang w:val="en-US" w:eastAsia="ja-JP"/>
        </w:rPr>
        <w:t>esistance</w:t>
      </w:r>
      <w:r w:rsidRPr="00F0147F">
        <w:rPr>
          <w:highlight w:val="yellow"/>
          <w:lang w:val="en-US" w:eastAsia="ja-JP"/>
        </w:rPr>
        <w:t>, </w:t>
      </w:r>
      <w:r w:rsidRPr="00F0147F">
        <w:rPr>
          <w:i/>
          <w:iCs/>
          <w:highlight w:val="yellow"/>
          <w:lang w:val="en-US" w:eastAsia="ja-JP"/>
        </w:rPr>
        <w:t>7</w:t>
      </w:r>
      <w:r w:rsidRPr="00F0147F">
        <w:rPr>
          <w:highlight w:val="yellow"/>
          <w:lang w:val="en-US" w:eastAsia="ja-JP"/>
        </w:rPr>
        <w:t>(1), 51–60. https://doi.org/10.1016/j.ijpddr.2017.01.001</w:t>
      </w:r>
    </w:p>
    <w:p w14:paraId="4BCA478A" w14:textId="14A2327F" w:rsidR="00F0147F" w:rsidRPr="003D0994" w:rsidRDefault="003D0994" w:rsidP="003D0994">
      <w:pPr>
        <w:pStyle w:val="a6"/>
        <w:rPr>
          <w:lang w:val="en-US" w:eastAsia="ja-JP"/>
        </w:rPr>
      </w:pPr>
      <w:r w:rsidRPr="003D0994">
        <w:rPr>
          <w:highlight w:val="yellow"/>
          <w:lang w:val="en-US" w:eastAsia="ja-JP"/>
        </w:rPr>
        <w:t xml:space="preserve">Lee H-A, Park S-M, Chu K-B, Quan F-S, Kurz T, Pflieger M, Moon E-K. 2020. Application of histone deacetylase inhibitors MPK472 and KSK64 as a potential treatment option for Acanthamoeba keratitis. </w:t>
      </w:r>
      <w:r w:rsidRPr="00016A1C">
        <w:rPr>
          <w:i/>
          <w:iCs/>
          <w:highlight w:val="yellow"/>
          <w:lang w:val="en-US" w:eastAsia="ja-JP"/>
        </w:rPr>
        <w:t>Antimicrob</w:t>
      </w:r>
      <w:r w:rsidR="00016A1C">
        <w:rPr>
          <w:i/>
          <w:iCs/>
          <w:highlight w:val="yellow"/>
          <w:lang w:val="en-US" w:eastAsia="ja-JP"/>
        </w:rPr>
        <w:t>ial</w:t>
      </w:r>
      <w:r w:rsidRPr="00016A1C">
        <w:rPr>
          <w:rFonts w:hint="eastAsia"/>
          <w:i/>
          <w:iCs/>
          <w:highlight w:val="yellow"/>
          <w:lang w:val="en-US" w:eastAsia="ja-JP"/>
        </w:rPr>
        <w:t xml:space="preserve"> </w:t>
      </w:r>
      <w:r w:rsidRPr="00016A1C">
        <w:rPr>
          <w:i/>
          <w:iCs/>
          <w:highlight w:val="yellow"/>
          <w:lang w:val="en-US" w:eastAsia="ja-JP"/>
        </w:rPr>
        <w:t xml:space="preserve">Agents </w:t>
      </w:r>
      <w:r w:rsidR="00016A1C">
        <w:rPr>
          <w:i/>
          <w:iCs/>
          <w:highlight w:val="yellow"/>
          <w:lang w:val="en-US" w:eastAsia="ja-JP"/>
        </w:rPr>
        <w:t xml:space="preserve">and </w:t>
      </w:r>
      <w:r w:rsidRPr="00016A1C">
        <w:rPr>
          <w:i/>
          <w:iCs/>
          <w:highlight w:val="yellow"/>
          <w:lang w:val="en-US" w:eastAsia="ja-JP"/>
        </w:rPr>
        <w:t>Chemother</w:t>
      </w:r>
      <w:r w:rsidR="00016A1C">
        <w:rPr>
          <w:i/>
          <w:iCs/>
          <w:highlight w:val="yellow"/>
          <w:lang w:val="en-US" w:eastAsia="ja-JP"/>
        </w:rPr>
        <w:t>apy</w:t>
      </w:r>
      <w:r w:rsidRPr="003D0994">
        <w:rPr>
          <w:highlight w:val="yellow"/>
          <w:lang w:val="en-US" w:eastAsia="ja-JP"/>
        </w:rPr>
        <w:t xml:space="preserve"> </w:t>
      </w:r>
      <w:proofErr w:type="gramStart"/>
      <w:r w:rsidRPr="003D0994">
        <w:rPr>
          <w:highlight w:val="yellow"/>
          <w:lang w:val="en-US" w:eastAsia="ja-JP"/>
        </w:rPr>
        <w:t>64:e</w:t>
      </w:r>
      <w:proofErr w:type="gramEnd"/>
      <w:r w:rsidRPr="003D0994">
        <w:rPr>
          <w:highlight w:val="yellow"/>
          <w:lang w:val="en-US" w:eastAsia="ja-JP"/>
        </w:rPr>
        <w:t>01506-20. https://doi.org/10.1128/AAC.01506-20.</w:t>
      </w:r>
    </w:p>
    <w:p w14:paraId="635E9469" w14:textId="77777777" w:rsidR="006735D9" w:rsidRPr="000E6ED2" w:rsidRDefault="006735D9" w:rsidP="006C5921">
      <w:pPr>
        <w:pStyle w:val="a6"/>
        <w:rPr>
          <w:lang w:val="en-US"/>
        </w:rPr>
      </w:pPr>
    </w:p>
    <w:p w14:paraId="7272C732" w14:textId="6DD2377E" w:rsidR="000E6ED2" w:rsidRDefault="000E6ED2" w:rsidP="000E6ED2">
      <w:pPr>
        <w:pStyle w:val="a6"/>
        <w:numPr>
          <w:ilvl w:val="0"/>
          <w:numId w:val="2"/>
        </w:numPr>
        <w:rPr>
          <w:lang w:val="en-US"/>
        </w:rPr>
      </w:pPr>
      <w:proofErr w:type="spellStart"/>
      <w:r w:rsidRPr="000E6ED2">
        <w:rPr>
          <w:lang w:val="en-US"/>
        </w:rPr>
        <w:t>Rocilinostat</w:t>
      </w:r>
      <w:proofErr w:type="spellEnd"/>
      <w:r w:rsidRPr="000E6ED2">
        <w:rPr>
          <w:lang w:val="en-US"/>
        </w:rPr>
        <w:t xml:space="preserve"> is mentioned here as HDAC inhibitor, should it also be included in the stressors list</w:t>
      </w:r>
      <w:r w:rsidR="005F17D8">
        <w:rPr>
          <w:lang w:val="en-US"/>
        </w:rPr>
        <w:t xml:space="preserve"> or included in the overview for the MIE</w:t>
      </w:r>
      <w:r w:rsidRPr="000E6ED2">
        <w:rPr>
          <w:lang w:val="en-US"/>
        </w:rPr>
        <w:t>?</w:t>
      </w:r>
    </w:p>
    <w:p w14:paraId="1393C19D" w14:textId="58D18B55" w:rsidR="006C5921" w:rsidRPr="00A72334" w:rsidRDefault="006C5921" w:rsidP="006C5921">
      <w:pPr>
        <w:pStyle w:val="Web"/>
        <w:numPr>
          <w:ilvl w:val="0"/>
          <w:numId w:val="13"/>
        </w:numPr>
        <w:rPr>
          <w:rFonts w:asciiTheme="minorHAnsi" w:hAnsiTheme="minorHAnsi" w:cstheme="minorHAnsi"/>
          <w:sz w:val="22"/>
          <w:szCs w:val="22"/>
          <w:highlight w:val="yellow"/>
        </w:rPr>
      </w:pPr>
      <w:proofErr w:type="spellStart"/>
      <w:r w:rsidRPr="00E82034">
        <w:rPr>
          <w:rFonts w:asciiTheme="minorHAnsi" w:hAnsiTheme="minorHAnsi" w:cstheme="minorHAnsi"/>
          <w:sz w:val="22"/>
          <w:szCs w:val="22"/>
          <w:highlight w:val="yellow"/>
        </w:rPr>
        <w:lastRenderedPageBreak/>
        <w:t>Rocilinostat</w:t>
      </w:r>
      <w:proofErr w:type="spellEnd"/>
      <w:r w:rsidRPr="00E82034">
        <w:rPr>
          <w:rFonts w:asciiTheme="minorHAnsi" w:hAnsiTheme="minorHAnsi" w:cstheme="minorHAnsi"/>
          <w:sz w:val="22"/>
          <w:szCs w:val="22"/>
          <w:highlight w:val="yellow"/>
        </w:rPr>
        <w:t xml:space="preserve"> has been added as a stressor as follows</w:t>
      </w:r>
      <w:r w:rsidR="00D214F2">
        <w:rPr>
          <w:rFonts w:asciiTheme="minorHAnsi" w:hAnsiTheme="minorHAnsi" w:cstheme="minorHAnsi"/>
          <w:sz w:val="22"/>
          <w:szCs w:val="22"/>
          <w:highlight w:val="yellow"/>
        </w:rPr>
        <w:t xml:space="preserve"> and the reference has been </w:t>
      </w:r>
      <w:r w:rsidR="00486266">
        <w:rPr>
          <w:rFonts w:asciiTheme="minorHAnsi" w:hAnsiTheme="minorHAnsi" w:cstheme="minorHAnsi"/>
          <w:sz w:val="22"/>
          <w:szCs w:val="22"/>
          <w:highlight w:val="yellow"/>
        </w:rPr>
        <w:t>added</w:t>
      </w:r>
      <w:r w:rsidR="00A72334">
        <w:rPr>
          <w:rFonts w:asciiTheme="minorHAnsi" w:hAnsiTheme="minorHAnsi" w:cstheme="minorHAnsi"/>
          <w:sz w:val="22"/>
          <w:szCs w:val="22"/>
          <w:highlight w:val="yellow"/>
        </w:rPr>
        <w:t xml:space="preserve"> </w:t>
      </w:r>
      <w:r w:rsidR="00A72334" w:rsidRPr="00A72334">
        <w:rPr>
          <w:rFonts w:asciiTheme="minorHAnsi" w:hAnsiTheme="minorHAnsi" w:cstheme="minorHAnsi"/>
          <w:sz w:val="22"/>
          <w:szCs w:val="22"/>
          <w:highlight w:val="yellow"/>
        </w:rPr>
        <w:t xml:space="preserve">(p. </w:t>
      </w:r>
      <w:r w:rsidR="00A72334" w:rsidRPr="00A72334">
        <w:rPr>
          <w:rFonts w:asciiTheme="minorHAnsi" w:hAnsiTheme="minorHAnsi" w:cstheme="minorHAnsi"/>
          <w:sz w:val="22"/>
          <w:szCs w:val="22"/>
          <w:highlight w:val="yellow"/>
        </w:rPr>
        <w:t>2</w:t>
      </w:r>
      <w:r w:rsidR="00A72334" w:rsidRPr="00A72334">
        <w:rPr>
          <w:rFonts w:asciiTheme="minorHAnsi" w:hAnsiTheme="minorHAnsi" w:cstheme="minorHAnsi"/>
          <w:sz w:val="22"/>
          <w:szCs w:val="22"/>
          <w:highlight w:val="yellow"/>
        </w:rPr>
        <w:t>/35 in AOP Snapshot 212-2021-07-02T02_03)</w:t>
      </w:r>
      <w:r w:rsidRPr="00A72334">
        <w:rPr>
          <w:rFonts w:asciiTheme="minorHAnsi" w:hAnsiTheme="minorHAnsi" w:cstheme="minorHAnsi"/>
          <w:sz w:val="22"/>
          <w:szCs w:val="22"/>
          <w:highlight w:val="yellow"/>
        </w:rPr>
        <w:t>:</w:t>
      </w:r>
    </w:p>
    <w:p w14:paraId="5F92BE8C" w14:textId="36C3E0CC" w:rsidR="006C5921" w:rsidRPr="00E82034" w:rsidRDefault="006C5921" w:rsidP="006C5921">
      <w:pPr>
        <w:pStyle w:val="Web"/>
        <w:ind w:left="720"/>
        <w:rPr>
          <w:rFonts w:asciiTheme="minorHAnsi" w:hAnsiTheme="minorHAnsi" w:cstheme="minorHAnsi"/>
          <w:sz w:val="22"/>
          <w:szCs w:val="22"/>
          <w:highlight w:val="yellow"/>
        </w:rPr>
      </w:pPr>
      <w:proofErr w:type="spellStart"/>
      <w:r w:rsidRPr="00E82034">
        <w:rPr>
          <w:rFonts w:asciiTheme="minorHAnsi" w:hAnsiTheme="minorHAnsi" w:cstheme="minorHAnsi"/>
          <w:sz w:val="22"/>
          <w:szCs w:val="22"/>
          <w:highlight w:val="yellow"/>
        </w:rPr>
        <w:t>Rocilinostat</w:t>
      </w:r>
      <w:proofErr w:type="spellEnd"/>
      <w:r w:rsidRPr="00E82034">
        <w:rPr>
          <w:rFonts w:asciiTheme="minorHAnsi" w:hAnsiTheme="minorHAnsi" w:cstheme="minorHAnsi"/>
          <w:sz w:val="22"/>
          <w:szCs w:val="22"/>
          <w:highlight w:val="yellow"/>
        </w:rPr>
        <w:t xml:space="preserve"> / </w:t>
      </w:r>
      <w:proofErr w:type="spellStart"/>
      <w:r w:rsidRPr="00E82034">
        <w:rPr>
          <w:rFonts w:asciiTheme="minorHAnsi" w:hAnsiTheme="minorHAnsi" w:cstheme="minorHAnsi"/>
          <w:sz w:val="22"/>
          <w:szCs w:val="22"/>
          <w:highlight w:val="yellow"/>
        </w:rPr>
        <w:t>Ricolinostat</w:t>
      </w:r>
      <w:proofErr w:type="spellEnd"/>
      <w:r w:rsidRPr="00E82034">
        <w:rPr>
          <w:rFonts w:asciiTheme="minorHAnsi" w:hAnsiTheme="minorHAnsi" w:cstheme="minorHAnsi"/>
          <w:sz w:val="22"/>
          <w:szCs w:val="22"/>
          <w:highlight w:val="yellow"/>
        </w:rPr>
        <w:t xml:space="preserve"> is the first oral selective HDAC6 inhibitor.</w:t>
      </w:r>
    </w:p>
    <w:p w14:paraId="1BA4E27E" w14:textId="77777777" w:rsidR="006C5921" w:rsidRPr="00E82034" w:rsidRDefault="006C5921" w:rsidP="006C5921">
      <w:pPr>
        <w:pStyle w:val="2"/>
        <w:ind w:left="720"/>
        <w:rPr>
          <w:rFonts w:asciiTheme="minorHAnsi" w:hAnsiTheme="minorHAnsi" w:cstheme="minorHAnsi"/>
          <w:sz w:val="22"/>
          <w:szCs w:val="22"/>
          <w:highlight w:val="yellow"/>
        </w:rPr>
      </w:pPr>
      <w:proofErr w:type="spellStart"/>
      <w:r w:rsidRPr="00E82034">
        <w:rPr>
          <w:rFonts w:asciiTheme="minorHAnsi" w:hAnsiTheme="minorHAnsi" w:cstheme="minorHAnsi"/>
          <w:sz w:val="22"/>
          <w:szCs w:val="22"/>
          <w:highlight w:val="yellow"/>
        </w:rPr>
        <w:t>Ricolinostat</w:t>
      </w:r>
      <w:proofErr w:type="spellEnd"/>
      <w:r w:rsidRPr="00E82034">
        <w:rPr>
          <w:rFonts w:asciiTheme="minorHAnsi" w:hAnsiTheme="minorHAnsi" w:cstheme="minorHAnsi"/>
          <w:sz w:val="22"/>
          <w:szCs w:val="22"/>
          <w:highlight w:val="yellow"/>
        </w:rPr>
        <w:t xml:space="preserve"> plus lenalidomide, and dexamethasone in relapsed or refractory multiple myeloma: a </w:t>
      </w:r>
      <w:proofErr w:type="spellStart"/>
      <w:r w:rsidRPr="00E82034">
        <w:rPr>
          <w:rFonts w:asciiTheme="minorHAnsi" w:hAnsiTheme="minorHAnsi" w:cstheme="minorHAnsi"/>
          <w:sz w:val="22"/>
          <w:szCs w:val="22"/>
          <w:highlight w:val="yellow"/>
        </w:rPr>
        <w:t>multicentre</w:t>
      </w:r>
      <w:proofErr w:type="spellEnd"/>
      <w:r w:rsidRPr="00E82034">
        <w:rPr>
          <w:rFonts w:asciiTheme="minorHAnsi" w:hAnsiTheme="minorHAnsi" w:cstheme="minorHAnsi"/>
          <w:sz w:val="22"/>
          <w:szCs w:val="22"/>
          <w:highlight w:val="yellow"/>
        </w:rPr>
        <w:t xml:space="preserve"> phase 1b trial</w:t>
      </w:r>
    </w:p>
    <w:p w14:paraId="1F91C940" w14:textId="77777777" w:rsidR="006C5921" w:rsidRPr="00E82034" w:rsidRDefault="006C5921" w:rsidP="006C5921">
      <w:pPr>
        <w:pStyle w:val="Web"/>
        <w:ind w:left="720"/>
        <w:rPr>
          <w:rFonts w:asciiTheme="minorHAnsi" w:hAnsiTheme="minorHAnsi" w:cstheme="minorHAnsi"/>
          <w:sz w:val="22"/>
          <w:szCs w:val="22"/>
          <w:highlight w:val="yellow"/>
        </w:rPr>
      </w:pPr>
      <w:r w:rsidRPr="00E82034">
        <w:rPr>
          <w:rFonts w:asciiTheme="minorHAnsi" w:hAnsiTheme="minorHAnsi" w:cstheme="minorHAnsi"/>
          <w:sz w:val="22"/>
          <w:szCs w:val="22"/>
          <w:highlight w:val="yellow"/>
        </w:rPr>
        <w:t xml:space="preserve">By: Yee, Andrew J.; </w:t>
      </w:r>
      <w:proofErr w:type="spellStart"/>
      <w:r w:rsidRPr="00E82034">
        <w:rPr>
          <w:rFonts w:asciiTheme="minorHAnsi" w:hAnsiTheme="minorHAnsi" w:cstheme="minorHAnsi"/>
          <w:sz w:val="22"/>
          <w:szCs w:val="22"/>
          <w:highlight w:val="yellow"/>
        </w:rPr>
        <w:t>Bensinger</w:t>
      </w:r>
      <w:proofErr w:type="spellEnd"/>
      <w:r w:rsidRPr="00E82034">
        <w:rPr>
          <w:rFonts w:asciiTheme="minorHAnsi" w:hAnsiTheme="minorHAnsi" w:cstheme="minorHAnsi"/>
          <w:sz w:val="22"/>
          <w:szCs w:val="22"/>
          <w:highlight w:val="yellow"/>
        </w:rPr>
        <w:t xml:space="preserve">, William I.; </w:t>
      </w:r>
      <w:proofErr w:type="spellStart"/>
      <w:r w:rsidRPr="00E82034">
        <w:rPr>
          <w:rFonts w:asciiTheme="minorHAnsi" w:hAnsiTheme="minorHAnsi" w:cstheme="minorHAnsi"/>
          <w:sz w:val="22"/>
          <w:szCs w:val="22"/>
          <w:highlight w:val="yellow"/>
        </w:rPr>
        <w:t>Supko</w:t>
      </w:r>
      <w:proofErr w:type="spellEnd"/>
      <w:r w:rsidRPr="00E82034">
        <w:rPr>
          <w:rFonts w:asciiTheme="minorHAnsi" w:hAnsiTheme="minorHAnsi" w:cstheme="minorHAnsi"/>
          <w:sz w:val="22"/>
          <w:szCs w:val="22"/>
          <w:highlight w:val="yellow"/>
        </w:rPr>
        <w:t xml:space="preserve">, Jeffrey G.; Voorhees, Peter M.; </w:t>
      </w:r>
      <w:proofErr w:type="spellStart"/>
      <w:r w:rsidRPr="00E82034">
        <w:rPr>
          <w:rFonts w:asciiTheme="minorHAnsi" w:hAnsiTheme="minorHAnsi" w:cstheme="minorHAnsi"/>
          <w:sz w:val="22"/>
          <w:szCs w:val="22"/>
          <w:highlight w:val="yellow"/>
        </w:rPr>
        <w:t>Berdeja</w:t>
      </w:r>
      <w:proofErr w:type="spellEnd"/>
      <w:r w:rsidRPr="00E82034">
        <w:rPr>
          <w:rFonts w:asciiTheme="minorHAnsi" w:hAnsiTheme="minorHAnsi" w:cstheme="minorHAnsi"/>
          <w:sz w:val="22"/>
          <w:szCs w:val="22"/>
          <w:highlight w:val="yellow"/>
        </w:rPr>
        <w:t xml:space="preserve">, Jesus G.; Richardson, Paul G.; Libby, Edward N.; Wallace, Ellen E.; </w:t>
      </w:r>
      <w:proofErr w:type="spellStart"/>
      <w:r w:rsidRPr="00E82034">
        <w:rPr>
          <w:rFonts w:asciiTheme="minorHAnsi" w:hAnsiTheme="minorHAnsi" w:cstheme="minorHAnsi"/>
          <w:sz w:val="22"/>
          <w:szCs w:val="22"/>
          <w:highlight w:val="yellow"/>
        </w:rPr>
        <w:t>Birrer</w:t>
      </w:r>
      <w:proofErr w:type="spellEnd"/>
      <w:r w:rsidRPr="00E82034">
        <w:rPr>
          <w:rFonts w:asciiTheme="minorHAnsi" w:hAnsiTheme="minorHAnsi" w:cstheme="minorHAnsi"/>
          <w:sz w:val="22"/>
          <w:szCs w:val="22"/>
          <w:highlight w:val="yellow"/>
        </w:rPr>
        <w:t>, Nicole E.; Burke, Jill N.; et al</w:t>
      </w:r>
    </w:p>
    <w:p w14:paraId="36E26F0C" w14:textId="77777777" w:rsidR="006C5921" w:rsidRPr="00E82034" w:rsidRDefault="006C5921" w:rsidP="006C5921">
      <w:pPr>
        <w:pStyle w:val="Web"/>
        <w:ind w:left="720"/>
        <w:rPr>
          <w:rFonts w:asciiTheme="minorHAnsi" w:hAnsiTheme="minorHAnsi" w:cstheme="minorHAnsi"/>
          <w:sz w:val="22"/>
          <w:szCs w:val="22"/>
        </w:rPr>
      </w:pPr>
      <w:r w:rsidRPr="00E82034">
        <w:rPr>
          <w:rFonts w:asciiTheme="minorHAnsi" w:hAnsiTheme="minorHAnsi" w:cstheme="minorHAnsi"/>
          <w:sz w:val="22"/>
          <w:szCs w:val="22"/>
          <w:highlight w:val="yellow"/>
        </w:rPr>
        <w:t xml:space="preserve">Lancet Oncology (2016), 17(11), 1569-1578 | Language: English, Database: </w:t>
      </w:r>
      <w:proofErr w:type="spellStart"/>
      <w:r w:rsidRPr="00E82034">
        <w:rPr>
          <w:rFonts w:asciiTheme="minorHAnsi" w:hAnsiTheme="minorHAnsi" w:cstheme="minorHAnsi"/>
          <w:sz w:val="22"/>
          <w:szCs w:val="22"/>
          <w:highlight w:val="yellow"/>
        </w:rPr>
        <w:t>CAplus</w:t>
      </w:r>
      <w:proofErr w:type="spellEnd"/>
      <w:r w:rsidRPr="00E82034">
        <w:rPr>
          <w:rFonts w:asciiTheme="minorHAnsi" w:hAnsiTheme="minorHAnsi" w:cstheme="minorHAnsi"/>
          <w:sz w:val="22"/>
          <w:szCs w:val="22"/>
          <w:highlight w:val="yellow"/>
        </w:rPr>
        <w:t xml:space="preserve"> and MEDLINE DOI: </w:t>
      </w:r>
      <w:hyperlink r:id="rId5" w:tgtFrame="_blank" w:history="1">
        <w:r w:rsidRPr="00E82034">
          <w:rPr>
            <w:rStyle w:val="a3"/>
            <w:rFonts w:asciiTheme="minorHAnsi" w:hAnsiTheme="minorHAnsi" w:cstheme="minorHAnsi"/>
            <w:sz w:val="22"/>
            <w:szCs w:val="22"/>
            <w:highlight w:val="yellow"/>
          </w:rPr>
          <w:t>10.1016/s1470-2045(16)30375-8</w:t>
        </w:r>
      </w:hyperlink>
    </w:p>
    <w:p w14:paraId="34A7D99B" w14:textId="77777777" w:rsidR="006C5921" w:rsidRPr="006C5921" w:rsidRDefault="006C5921" w:rsidP="006C5921">
      <w:pPr>
        <w:rPr>
          <w:lang w:val="en-US"/>
        </w:rPr>
      </w:pPr>
    </w:p>
    <w:p w14:paraId="3850CE16" w14:textId="77777777" w:rsidR="000C4A8C" w:rsidRDefault="000C4A8C" w:rsidP="000C4A8C">
      <w:pPr>
        <w:rPr>
          <w:lang w:val="en-US"/>
        </w:rPr>
      </w:pPr>
    </w:p>
    <w:p w14:paraId="0EFF04D3" w14:textId="77777777" w:rsidR="00EB73F8" w:rsidRPr="00EB73F8" w:rsidRDefault="00EB73F8" w:rsidP="000C4A8C">
      <w:pPr>
        <w:rPr>
          <w:b/>
          <w:lang w:val="en-US"/>
        </w:rPr>
      </w:pPr>
      <w:r w:rsidRPr="00EB73F8">
        <w:rPr>
          <w:b/>
          <w:lang w:val="en-US"/>
        </w:rPr>
        <w:t>p. 12</w:t>
      </w:r>
    </w:p>
    <w:p w14:paraId="6868DC88" w14:textId="77777777" w:rsidR="00EB73F8" w:rsidRDefault="00EB73F8" w:rsidP="000C4A8C">
      <w:pPr>
        <w:rPr>
          <w:b/>
          <w:bCs/>
          <w:lang w:val="en-US"/>
        </w:rPr>
      </w:pPr>
      <w:r w:rsidRPr="00EB73F8">
        <w:rPr>
          <w:b/>
          <w:bCs/>
          <w:lang w:val="en-US"/>
        </w:rPr>
        <w:t>Overview for Molecular Initiating Event</w:t>
      </w:r>
    </w:p>
    <w:p w14:paraId="19E12AFF" w14:textId="76D2A436" w:rsidR="00AE0025" w:rsidRPr="00432AFB" w:rsidRDefault="00AE0025" w:rsidP="00AE0025">
      <w:pPr>
        <w:pStyle w:val="a6"/>
        <w:numPr>
          <w:ilvl w:val="0"/>
          <w:numId w:val="3"/>
        </w:numPr>
        <w:rPr>
          <w:lang w:val="en-US"/>
        </w:rPr>
      </w:pPr>
      <w:r w:rsidRPr="00432AFB">
        <w:rPr>
          <w:lang w:val="en-US"/>
        </w:rPr>
        <w:t>Since TSA and butyrate competitively inhibit HDAC activity, do they both bind the same HDAC classes?</w:t>
      </w:r>
    </w:p>
    <w:p w14:paraId="37CA1EE5" w14:textId="377684B9" w:rsidR="002A7F93" w:rsidRDefault="00D13479" w:rsidP="00D13479">
      <w:pPr>
        <w:pStyle w:val="a6"/>
        <w:rPr>
          <w:highlight w:val="yellow"/>
          <w:lang w:val="en-US"/>
        </w:rPr>
      </w:pPr>
      <w:r w:rsidRPr="00FC2CD3">
        <w:rPr>
          <w:highlight w:val="yellow"/>
          <w:lang w:val="en-US"/>
        </w:rPr>
        <w:sym w:font="Wingdings" w:char="F0E0"/>
      </w:r>
      <w:r w:rsidRPr="00FC2CD3">
        <w:rPr>
          <w:highlight w:val="yellow"/>
          <w:lang w:val="en-US"/>
        </w:rPr>
        <w:t xml:space="preserve"> Yes, they </w:t>
      </w:r>
      <w:r w:rsidR="00FC2CD3" w:rsidRPr="00FC2CD3">
        <w:rPr>
          <w:highlight w:val="yellow"/>
          <w:lang w:val="en-US"/>
        </w:rPr>
        <w:t>inhibit class I and II of HDACs.</w:t>
      </w:r>
      <w:r w:rsidR="0031685F">
        <w:rPr>
          <w:highlight w:val="yellow"/>
          <w:lang w:val="en-US"/>
        </w:rPr>
        <w:t xml:space="preserve"> </w:t>
      </w:r>
      <w:r w:rsidR="002A7F93">
        <w:rPr>
          <w:highlight w:val="yellow"/>
          <w:lang w:val="en-US"/>
        </w:rPr>
        <w:t>Following sentences have been added</w:t>
      </w:r>
      <w:r w:rsidR="00DE76A4">
        <w:rPr>
          <w:highlight w:val="yellow"/>
          <w:lang w:val="en-US"/>
        </w:rPr>
        <w:t xml:space="preserve"> </w:t>
      </w:r>
      <w:r w:rsidR="00DE76A4">
        <w:rPr>
          <w:highlight w:val="yellow"/>
          <w:lang w:val="en-US"/>
        </w:rPr>
        <w:t xml:space="preserve">(p. </w:t>
      </w:r>
      <w:r w:rsidR="00DE76A4">
        <w:rPr>
          <w:highlight w:val="yellow"/>
          <w:lang w:val="en-US"/>
        </w:rPr>
        <w:t>8</w:t>
      </w:r>
      <w:r w:rsidR="00DE76A4">
        <w:rPr>
          <w:highlight w:val="yellow"/>
          <w:lang w:val="en-US"/>
        </w:rPr>
        <w:t>/35 in AOP Snapshot 212-2021-07-02T02_03)</w:t>
      </w:r>
      <w:r w:rsidR="002A7F93">
        <w:rPr>
          <w:highlight w:val="yellow"/>
          <w:lang w:val="en-US"/>
        </w:rPr>
        <w:t>:</w:t>
      </w:r>
    </w:p>
    <w:p w14:paraId="09F2A84D" w14:textId="7EE80A6A" w:rsidR="00D13479" w:rsidRPr="005C120B" w:rsidRDefault="002A7F93" w:rsidP="005C120B">
      <w:pPr>
        <w:pStyle w:val="a6"/>
        <w:rPr>
          <w:highlight w:val="yellow"/>
          <w:lang w:val="en-US"/>
        </w:rPr>
      </w:pPr>
      <w:r>
        <w:rPr>
          <w:highlight w:val="yellow"/>
          <w:lang w:val="en-US"/>
        </w:rPr>
        <w:t>“</w:t>
      </w:r>
      <w:r w:rsidR="0067491D">
        <w:rPr>
          <w:highlight w:val="yellow"/>
          <w:lang w:val="en-US" w:eastAsia="ja-JP"/>
        </w:rPr>
        <w:t>TSA (</w:t>
      </w:r>
      <w:proofErr w:type="spellStart"/>
      <w:r w:rsidR="0067491D">
        <w:rPr>
          <w:highlight w:val="yellow"/>
          <w:lang w:val="en-US" w:eastAsia="ja-JP"/>
        </w:rPr>
        <w:t>Trichostatin</w:t>
      </w:r>
      <w:proofErr w:type="spellEnd"/>
      <w:r w:rsidR="0067491D">
        <w:rPr>
          <w:highlight w:val="yellow"/>
          <w:lang w:val="en-US" w:eastAsia="ja-JP"/>
        </w:rPr>
        <w:t xml:space="preserve"> A) </w:t>
      </w:r>
      <w:r w:rsidR="002B31C0">
        <w:rPr>
          <w:highlight w:val="yellow"/>
          <w:lang w:val="en-US" w:eastAsia="ja-JP"/>
        </w:rPr>
        <w:t>inhibits</w:t>
      </w:r>
      <w:r w:rsidR="00687E96">
        <w:rPr>
          <w:highlight w:val="yellow"/>
          <w:lang w:val="en-US" w:eastAsia="ja-JP"/>
        </w:rPr>
        <w:t xml:space="preserve"> class I and II of HDACs</w:t>
      </w:r>
      <w:r w:rsidR="0067491D">
        <w:rPr>
          <w:highlight w:val="yellow"/>
          <w:lang w:val="en-US" w:eastAsia="ja-JP"/>
        </w:rPr>
        <w:t xml:space="preserve">, while </w:t>
      </w:r>
      <w:r w:rsidR="0067491D">
        <w:rPr>
          <w:highlight w:val="yellow"/>
          <w:lang w:val="en-US"/>
        </w:rPr>
        <w:t>b</w:t>
      </w:r>
      <w:r w:rsidR="0031685F">
        <w:rPr>
          <w:highlight w:val="yellow"/>
          <w:lang w:val="en-US"/>
        </w:rPr>
        <w:t xml:space="preserve">utyrate inhibits class I and </w:t>
      </w:r>
      <w:proofErr w:type="spellStart"/>
      <w:r w:rsidR="0031685F">
        <w:rPr>
          <w:highlight w:val="yellow"/>
          <w:lang w:val="en-US"/>
        </w:rPr>
        <w:t>IIa</w:t>
      </w:r>
      <w:proofErr w:type="spellEnd"/>
      <w:r w:rsidR="0031685F">
        <w:rPr>
          <w:highlight w:val="yellow"/>
          <w:lang w:val="en-US"/>
        </w:rPr>
        <w:t xml:space="preserve"> </w:t>
      </w:r>
      <w:r w:rsidR="00F502EC">
        <w:rPr>
          <w:highlight w:val="yellow"/>
          <w:lang w:val="en-US"/>
        </w:rPr>
        <w:t xml:space="preserve">(HDACs 4, 5, 7, 9) </w:t>
      </w:r>
      <w:r w:rsidR="0031685F">
        <w:rPr>
          <w:highlight w:val="yellow"/>
          <w:lang w:val="en-US"/>
        </w:rPr>
        <w:t>of HDACs</w:t>
      </w:r>
      <w:r w:rsidR="0071339D">
        <w:rPr>
          <w:highlight w:val="yellow"/>
          <w:lang w:val="en-US"/>
        </w:rPr>
        <w:t xml:space="preserve"> [</w:t>
      </w:r>
      <w:proofErr w:type="spellStart"/>
      <w:r w:rsidR="005C120B">
        <w:rPr>
          <w:highlight w:val="yellow"/>
          <w:lang w:val="en-US"/>
        </w:rPr>
        <w:t>Ooi</w:t>
      </w:r>
      <w:proofErr w:type="spellEnd"/>
      <w:r w:rsidR="005C120B">
        <w:rPr>
          <w:highlight w:val="yellow"/>
          <w:lang w:val="en-US"/>
        </w:rPr>
        <w:t xml:space="preserve"> et al., </w:t>
      </w:r>
      <w:r w:rsidR="005C120B" w:rsidRPr="005C120B">
        <w:rPr>
          <w:highlight w:val="yellow"/>
          <w:lang w:val="en-US"/>
        </w:rPr>
        <w:t>2015</w:t>
      </w:r>
      <w:r w:rsidR="005C120B">
        <w:rPr>
          <w:highlight w:val="yellow"/>
          <w:lang w:val="en-US"/>
        </w:rPr>
        <w:t xml:space="preserve">; </w:t>
      </w:r>
      <w:r w:rsidR="0071339D" w:rsidRPr="005C120B">
        <w:rPr>
          <w:highlight w:val="yellow"/>
          <w:lang w:val="en-US"/>
        </w:rPr>
        <w:t xml:space="preserve">Park and </w:t>
      </w:r>
      <w:proofErr w:type="spellStart"/>
      <w:r w:rsidR="0071339D" w:rsidRPr="005C120B">
        <w:rPr>
          <w:highlight w:val="yellow"/>
          <w:lang w:val="en-US"/>
        </w:rPr>
        <w:t>Sohrabji</w:t>
      </w:r>
      <w:proofErr w:type="spellEnd"/>
      <w:r w:rsidR="00FA3FD3" w:rsidRPr="005C120B">
        <w:rPr>
          <w:highlight w:val="yellow"/>
          <w:lang w:val="en-US"/>
        </w:rPr>
        <w:t>,</w:t>
      </w:r>
      <w:r w:rsidR="005C120B" w:rsidRPr="005C120B">
        <w:rPr>
          <w:highlight w:val="yellow"/>
          <w:lang w:val="en-US"/>
        </w:rPr>
        <w:t xml:space="preserve"> 2016;</w:t>
      </w:r>
      <w:r w:rsidR="00FA3FD3" w:rsidRPr="005C120B">
        <w:rPr>
          <w:highlight w:val="yellow"/>
          <w:lang w:val="en-US"/>
        </w:rPr>
        <w:t xml:space="preserve"> Wagner et al., 201</w:t>
      </w:r>
      <w:r w:rsidR="005C120B" w:rsidRPr="005C120B">
        <w:rPr>
          <w:highlight w:val="yellow"/>
          <w:lang w:val="en-US"/>
        </w:rPr>
        <w:t>5</w:t>
      </w:r>
      <w:r w:rsidR="0071339D" w:rsidRPr="005C120B">
        <w:rPr>
          <w:highlight w:val="yellow"/>
          <w:lang w:val="en-US"/>
        </w:rPr>
        <w:t>]</w:t>
      </w:r>
      <w:r w:rsidR="0031685F" w:rsidRPr="005C120B">
        <w:rPr>
          <w:highlight w:val="yellow"/>
          <w:lang w:val="en-US"/>
        </w:rPr>
        <w:t>.</w:t>
      </w:r>
      <w:r w:rsidRPr="005C120B">
        <w:rPr>
          <w:highlight w:val="yellow"/>
          <w:lang w:val="en-US"/>
        </w:rPr>
        <w:t>”</w:t>
      </w:r>
    </w:p>
    <w:p w14:paraId="1789180F" w14:textId="0EDF5378" w:rsidR="00FC2CD3" w:rsidRPr="00FA3FD3" w:rsidRDefault="00FC2CD3" w:rsidP="00D13479">
      <w:pPr>
        <w:pStyle w:val="a6"/>
        <w:rPr>
          <w:highlight w:val="yellow"/>
          <w:lang w:val="en-US"/>
        </w:rPr>
      </w:pPr>
    </w:p>
    <w:p w14:paraId="2891DBFE" w14:textId="4CCAC0C6" w:rsidR="00FA3FD3" w:rsidRPr="00FA3FD3" w:rsidRDefault="00FA3FD3" w:rsidP="00D13479">
      <w:pPr>
        <w:pStyle w:val="a6"/>
        <w:rPr>
          <w:highlight w:val="yellow"/>
          <w:lang w:val="en-US"/>
        </w:rPr>
      </w:pPr>
      <w:r w:rsidRPr="00FA3FD3">
        <w:rPr>
          <w:rFonts w:hint="eastAsia"/>
          <w:highlight w:val="yellow"/>
          <w:lang w:val="en-US"/>
        </w:rPr>
        <w:t>R</w:t>
      </w:r>
      <w:r w:rsidRPr="00FA3FD3">
        <w:rPr>
          <w:highlight w:val="yellow"/>
          <w:lang w:val="en-US"/>
        </w:rPr>
        <w:t>eference</w:t>
      </w:r>
      <w:r w:rsidR="00F43DDA">
        <w:rPr>
          <w:highlight w:val="yellow"/>
          <w:lang w:val="en-US"/>
        </w:rPr>
        <w:t>s</w:t>
      </w:r>
      <w:r w:rsidRPr="00FA3FD3">
        <w:rPr>
          <w:highlight w:val="yellow"/>
          <w:lang w:val="en-US"/>
        </w:rPr>
        <w:t xml:space="preserve"> added:</w:t>
      </w:r>
    </w:p>
    <w:p w14:paraId="2CF1AB5F" w14:textId="27E2B7D0" w:rsidR="00A24F9A" w:rsidRPr="00A24F9A" w:rsidRDefault="00A24F9A" w:rsidP="00D13479">
      <w:pPr>
        <w:pStyle w:val="a6"/>
        <w:rPr>
          <w:highlight w:val="yellow"/>
          <w:lang w:val="en-US"/>
        </w:rPr>
      </w:pPr>
      <w:proofErr w:type="spellStart"/>
      <w:r w:rsidRPr="003E5B96">
        <w:rPr>
          <w:highlight w:val="yellow"/>
          <w:lang w:val="en-US"/>
        </w:rPr>
        <w:t>Ooi</w:t>
      </w:r>
      <w:proofErr w:type="spellEnd"/>
      <w:r w:rsidRPr="003E5B96">
        <w:rPr>
          <w:highlight w:val="yellow"/>
          <w:lang w:val="en-US"/>
        </w:rPr>
        <w:t xml:space="preserve">, J.Y.Y. et al. </w:t>
      </w:r>
      <w:r w:rsidRPr="00A24F9A">
        <w:rPr>
          <w:highlight w:val="yellow"/>
          <w:lang w:val="en-US"/>
        </w:rPr>
        <w:t>(2015), “HDAC inhibition attenuates cardiac hypertrophy by acetylation and deacetylation of target genes”, Epigenetics 10:418-</w:t>
      </w:r>
      <w:r w:rsidR="00F43DDA">
        <w:rPr>
          <w:highlight w:val="yellow"/>
          <w:lang w:val="en-US"/>
        </w:rPr>
        <w:t>4</w:t>
      </w:r>
      <w:r w:rsidRPr="00A24F9A">
        <w:rPr>
          <w:highlight w:val="yellow"/>
          <w:lang w:val="en-US"/>
        </w:rPr>
        <w:t>30</w:t>
      </w:r>
    </w:p>
    <w:p w14:paraId="1748CA80" w14:textId="6299857D" w:rsidR="00FA3FD3" w:rsidRPr="00F43DDA" w:rsidRDefault="00FA3FD3" w:rsidP="00D13479">
      <w:pPr>
        <w:pStyle w:val="a6"/>
        <w:rPr>
          <w:highlight w:val="yellow"/>
          <w:lang w:val="en-US"/>
        </w:rPr>
      </w:pPr>
      <w:r w:rsidRPr="00F43DDA">
        <w:rPr>
          <w:rFonts w:hint="eastAsia"/>
          <w:highlight w:val="yellow"/>
          <w:lang w:val="en-US"/>
        </w:rPr>
        <w:t>P</w:t>
      </w:r>
      <w:r w:rsidRPr="00F43DDA">
        <w:rPr>
          <w:highlight w:val="yellow"/>
          <w:lang w:val="en-US"/>
        </w:rPr>
        <w:t xml:space="preserve">ark M.J. and </w:t>
      </w:r>
      <w:proofErr w:type="spellStart"/>
      <w:r w:rsidRPr="00F43DDA">
        <w:rPr>
          <w:highlight w:val="yellow"/>
          <w:lang w:val="en-US"/>
        </w:rPr>
        <w:t>Sohrabi</w:t>
      </w:r>
      <w:proofErr w:type="spellEnd"/>
      <w:r w:rsidRPr="00F43DDA">
        <w:rPr>
          <w:highlight w:val="yellow"/>
          <w:lang w:val="en-US"/>
        </w:rPr>
        <w:t xml:space="preserve"> F. (2016), “The histone deacetylase inhibitor, sodium butyrate, exhibits neuroprotective effects for ischemic stroke in middle-aged female rats”, J Neuroinflam</w:t>
      </w:r>
      <w:r w:rsidR="00B45425" w:rsidRPr="00F43DDA">
        <w:rPr>
          <w:highlight w:val="yellow"/>
          <w:lang w:val="en-US"/>
        </w:rPr>
        <w:t>mation</w:t>
      </w:r>
      <w:r w:rsidRPr="00F43DDA">
        <w:rPr>
          <w:highlight w:val="yellow"/>
          <w:lang w:val="en-US"/>
        </w:rPr>
        <w:t xml:space="preserve"> 13:300</w:t>
      </w:r>
    </w:p>
    <w:p w14:paraId="4DB263F2" w14:textId="1983712D" w:rsidR="00687E96" w:rsidRPr="00F43DDA" w:rsidRDefault="00FA3FD3" w:rsidP="00F43DDA">
      <w:pPr>
        <w:pStyle w:val="a6"/>
        <w:rPr>
          <w:highlight w:val="yellow"/>
          <w:lang w:val="en-US"/>
        </w:rPr>
      </w:pPr>
      <w:r w:rsidRPr="00FA3FD3">
        <w:rPr>
          <w:rFonts w:hint="eastAsia"/>
          <w:highlight w:val="yellow"/>
          <w:lang w:val="da-DK"/>
        </w:rPr>
        <w:t>W</w:t>
      </w:r>
      <w:r w:rsidRPr="00FA3FD3">
        <w:rPr>
          <w:highlight w:val="yellow"/>
          <w:lang w:val="da-DK"/>
        </w:rPr>
        <w:t xml:space="preserve">agner F.F. et al. </w:t>
      </w:r>
      <w:r w:rsidRPr="00FA3FD3">
        <w:rPr>
          <w:highlight w:val="yellow"/>
          <w:lang w:val="en-US"/>
        </w:rPr>
        <w:t xml:space="preserve">(2015), </w:t>
      </w:r>
      <w:r w:rsidR="00687E96">
        <w:rPr>
          <w:highlight w:val="yellow"/>
          <w:lang w:val="en-US"/>
        </w:rPr>
        <w:t>“</w:t>
      </w:r>
      <w:r w:rsidRPr="00FA3FD3">
        <w:rPr>
          <w:highlight w:val="yellow"/>
          <w:lang w:val="en-US"/>
        </w:rPr>
        <w:t>Kinetically selective inhibitors of histone deacetylase 2 (HDAC2) as cognition enhances”, Chem Sci 6:804</w:t>
      </w:r>
    </w:p>
    <w:p w14:paraId="23DA75A0" w14:textId="77777777" w:rsidR="00FA3FD3" w:rsidRPr="00FA3FD3" w:rsidRDefault="00FA3FD3" w:rsidP="00D13479">
      <w:pPr>
        <w:pStyle w:val="a6"/>
        <w:rPr>
          <w:lang w:val="en-US"/>
        </w:rPr>
      </w:pPr>
    </w:p>
    <w:p w14:paraId="6E3B2717" w14:textId="259D3FE9" w:rsidR="00AE0025" w:rsidRPr="00432AFB" w:rsidRDefault="006F5A00" w:rsidP="00AE0025">
      <w:pPr>
        <w:pStyle w:val="a6"/>
        <w:numPr>
          <w:ilvl w:val="0"/>
          <w:numId w:val="3"/>
        </w:numPr>
        <w:rPr>
          <w:lang w:val="en-US"/>
        </w:rPr>
      </w:pPr>
      <w:r w:rsidRPr="00432AFB">
        <w:rPr>
          <w:lang w:val="en-US"/>
        </w:rPr>
        <w:t>There are two sen</w:t>
      </w:r>
      <w:r w:rsidR="00AE0025" w:rsidRPr="00432AFB">
        <w:rPr>
          <w:lang w:val="en-US"/>
        </w:rPr>
        <w:t>tences with regard to TSA targets, shouldn’t they be combined?</w:t>
      </w:r>
      <w:r w:rsidR="00B41F82" w:rsidRPr="00432AFB">
        <w:rPr>
          <w:lang w:val="en-US"/>
        </w:rPr>
        <w:t xml:space="preserve"> </w:t>
      </w:r>
      <w:proofErr w:type="gramStart"/>
      <w:r w:rsidR="00B41F82" w:rsidRPr="00432AFB">
        <w:rPr>
          <w:lang w:val="en-US"/>
        </w:rPr>
        <w:t>E.g.</w:t>
      </w:r>
      <w:proofErr w:type="gramEnd"/>
      <w:r w:rsidR="00B41F82" w:rsidRPr="00432AFB">
        <w:rPr>
          <w:lang w:val="en-US"/>
        </w:rPr>
        <w:t xml:space="preserve"> TSA inhibits class I </w:t>
      </w:r>
      <w:proofErr w:type="spellStart"/>
      <w:r w:rsidR="00B41F82" w:rsidRPr="00432AFB">
        <w:t>isoforms</w:t>
      </w:r>
      <w:proofErr w:type="spellEnd"/>
      <w:r w:rsidR="00B41F82" w:rsidRPr="00432AFB">
        <w:t xml:space="preserve"> 1, 2, 3, </w:t>
      </w:r>
      <w:proofErr w:type="spellStart"/>
      <w:r w:rsidR="00B41F82" w:rsidRPr="00432AFB">
        <w:t>and</w:t>
      </w:r>
      <w:proofErr w:type="spellEnd"/>
      <w:r w:rsidR="00B41F82" w:rsidRPr="00432AFB">
        <w:t xml:space="preserve"> 8</w:t>
      </w:r>
    </w:p>
    <w:p w14:paraId="1CA98C11" w14:textId="0D5CF377" w:rsidR="0004092B" w:rsidRPr="00432AFB" w:rsidRDefault="0004092B" w:rsidP="0004092B">
      <w:pPr>
        <w:pStyle w:val="a6"/>
        <w:rPr>
          <w:highlight w:val="yellow"/>
          <w:lang w:val="en-US"/>
        </w:rPr>
      </w:pPr>
      <w:r w:rsidRPr="00432AFB">
        <w:rPr>
          <w:highlight w:val="yellow"/>
        </w:rPr>
        <w:sym w:font="Wingdings" w:char="F0E0"/>
      </w:r>
      <w:r w:rsidRPr="00432AFB">
        <w:rPr>
          <w:highlight w:val="yellow"/>
          <w:lang w:val="en-US"/>
        </w:rPr>
        <w:t xml:space="preserve"> Thank you so much for this comment. The sentences have been combined as follows</w:t>
      </w:r>
      <w:r w:rsidR="00DE76A4">
        <w:rPr>
          <w:highlight w:val="yellow"/>
          <w:lang w:val="en-US"/>
        </w:rPr>
        <w:t xml:space="preserve"> </w:t>
      </w:r>
      <w:r w:rsidR="00DE76A4">
        <w:rPr>
          <w:highlight w:val="yellow"/>
          <w:lang w:val="en-US"/>
        </w:rPr>
        <w:t xml:space="preserve">(p. </w:t>
      </w:r>
      <w:r w:rsidR="00DE76A4">
        <w:rPr>
          <w:highlight w:val="yellow"/>
          <w:lang w:val="en-US"/>
        </w:rPr>
        <w:t>8</w:t>
      </w:r>
      <w:r w:rsidR="00DE76A4">
        <w:rPr>
          <w:highlight w:val="yellow"/>
          <w:lang w:val="en-US"/>
        </w:rPr>
        <w:t>/35 in AOP Snapshot 212-2021-07-02T02_03)</w:t>
      </w:r>
      <w:r w:rsidRPr="00432AFB">
        <w:rPr>
          <w:highlight w:val="yellow"/>
          <w:lang w:val="en-US"/>
        </w:rPr>
        <w:t>:</w:t>
      </w:r>
    </w:p>
    <w:p w14:paraId="689CF27B" w14:textId="1D7AB4AC" w:rsidR="0004092B" w:rsidRPr="00432AFB" w:rsidRDefault="00B45425" w:rsidP="00432AFB">
      <w:pPr>
        <w:pStyle w:val="a6"/>
        <w:rPr>
          <w:highlight w:val="yellow"/>
          <w:lang w:val="en-US"/>
        </w:rPr>
      </w:pPr>
      <w:r>
        <w:rPr>
          <w:highlight w:val="yellow"/>
          <w:lang w:val="en-US"/>
        </w:rPr>
        <w:t>“</w:t>
      </w:r>
      <w:r w:rsidR="0004092B" w:rsidRPr="00432AFB">
        <w:rPr>
          <w:highlight w:val="yellow"/>
          <w:lang w:val="en-US"/>
        </w:rPr>
        <w:t>TSA inhibits HDAC1</w:t>
      </w:r>
      <w:r w:rsidR="00432AFB" w:rsidRPr="00432AFB">
        <w:rPr>
          <w:highlight w:val="yellow"/>
          <w:lang w:val="en-US"/>
        </w:rPr>
        <w:t xml:space="preserve">, 2, </w:t>
      </w:r>
      <w:r w:rsidR="0004092B" w:rsidRPr="00432AFB">
        <w:rPr>
          <w:highlight w:val="yellow"/>
          <w:lang w:val="en-US"/>
        </w:rPr>
        <w:t xml:space="preserve">and </w:t>
      </w:r>
      <w:r w:rsidR="00432AFB" w:rsidRPr="00432AFB">
        <w:rPr>
          <w:highlight w:val="yellow"/>
          <w:lang w:val="en-US"/>
        </w:rPr>
        <w:t>3 [</w:t>
      </w:r>
      <w:proofErr w:type="spellStart"/>
      <w:r w:rsidR="00432AFB" w:rsidRPr="00432AFB">
        <w:rPr>
          <w:highlight w:val="yellow"/>
          <w:lang w:val="en-US"/>
        </w:rPr>
        <w:t>Damaskos</w:t>
      </w:r>
      <w:proofErr w:type="spellEnd"/>
      <w:r w:rsidR="00432AFB" w:rsidRPr="00432AFB">
        <w:rPr>
          <w:highlight w:val="yellow"/>
          <w:lang w:val="en-US"/>
        </w:rPr>
        <w:t xml:space="preserve"> et al., 2016]</w:t>
      </w:r>
      <w:r w:rsidR="0004092B" w:rsidRPr="00432AFB">
        <w:rPr>
          <w:highlight w:val="yellow"/>
          <w:lang w:val="en-US"/>
        </w:rPr>
        <w:t>, whereas MS-27-275 has an inhibitory effect for HDAC1 and HDAC3 (IC50 value of ~0.</w:t>
      </w:r>
      <w:r w:rsidR="00A22302">
        <w:rPr>
          <w:highlight w:val="yellow"/>
          <w:lang w:val="en-US"/>
        </w:rPr>
        <w:t>3</w:t>
      </w:r>
      <w:r w:rsidR="0004092B" w:rsidRPr="00432AFB">
        <w:rPr>
          <w:highlight w:val="yellow"/>
          <w:lang w:val="en-US"/>
        </w:rPr>
        <w:t xml:space="preserve"> </w:t>
      </w:r>
      <w:r w:rsidR="0004092B" w:rsidRPr="00A22302">
        <w:rPr>
          <w:rFonts w:ascii="Symbol" w:hAnsi="Symbol"/>
          <w:highlight w:val="yellow"/>
          <w:lang w:val="en-US"/>
        </w:rPr>
        <w:t>m</w:t>
      </w:r>
      <w:r w:rsidR="0004092B" w:rsidRPr="00432AFB">
        <w:rPr>
          <w:highlight w:val="yellow"/>
          <w:lang w:val="en-US"/>
        </w:rPr>
        <w:t xml:space="preserve">M and ~8 </w:t>
      </w:r>
      <w:r w:rsidR="0004092B" w:rsidRPr="00A22302">
        <w:rPr>
          <w:rFonts w:ascii="Symbol" w:hAnsi="Symbol"/>
          <w:highlight w:val="yellow"/>
          <w:lang w:val="en-US"/>
        </w:rPr>
        <w:t>m</w:t>
      </w:r>
      <w:r w:rsidR="0004092B" w:rsidRPr="00432AFB">
        <w:rPr>
          <w:highlight w:val="yellow"/>
          <w:lang w:val="en-US"/>
        </w:rPr>
        <w:t>M, respectively), but no effect for HDAC8 (IC50 value &gt;10</w:t>
      </w:r>
      <w:r w:rsidR="00194F7D">
        <w:rPr>
          <w:highlight w:val="yellow"/>
          <w:lang w:val="en-US"/>
        </w:rPr>
        <w:t>0</w:t>
      </w:r>
      <w:r w:rsidR="0004092B" w:rsidRPr="00432AFB">
        <w:rPr>
          <w:highlight w:val="yellow"/>
          <w:lang w:val="en-US"/>
        </w:rPr>
        <w:t xml:space="preserve"> </w:t>
      </w:r>
      <w:r w:rsidR="0004092B" w:rsidRPr="00194F7D">
        <w:rPr>
          <w:rFonts w:ascii="Symbol" w:hAnsi="Symbol"/>
          <w:highlight w:val="yellow"/>
          <w:lang w:val="en-US"/>
        </w:rPr>
        <w:t>m</w:t>
      </w:r>
      <w:r w:rsidR="0004092B" w:rsidRPr="00432AFB">
        <w:rPr>
          <w:highlight w:val="yellow"/>
          <w:lang w:val="en-US"/>
        </w:rPr>
        <w:t>M) [Hu et al., 2003].</w:t>
      </w:r>
      <w:r>
        <w:rPr>
          <w:highlight w:val="yellow"/>
          <w:lang w:val="en-US"/>
        </w:rPr>
        <w:t>”</w:t>
      </w:r>
      <w:r w:rsidR="0004092B" w:rsidRPr="00432AFB">
        <w:rPr>
          <w:highlight w:val="yellow"/>
          <w:lang w:val="en-US"/>
        </w:rPr>
        <w:t xml:space="preserve"> </w:t>
      </w:r>
    </w:p>
    <w:p w14:paraId="12A94BFD" w14:textId="26430BDD" w:rsidR="00D13479" w:rsidRPr="00D13479" w:rsidRDefault="00D13479" w:rsidP="00D13479">
      <w:pPr>
        <w:ind w:left="360"/>
        <w:rPr>
          <w:highlight w:val="cyan"/>
          <w:lang w:val="en-US"/>
        </w:rPr>
      </w:pPr>
    </w:p>
    <w:p w14:paraId="6E578EDF" w14:textId="77777777" w:rsidR="003879FD" w:rsidRDefault="003879FD" w:rsidP="003879FD">
      <w:pPr>
        <w:rPr>
          <w:lang w:val="en-US"/>
        </w:rPr>
      </w:pPr>
    </w:p>
    <w:p w14:paraId="3010E20C" w14:textId="77777777" w:rsidR="003879FD" w:rsidRPr="003879FD" w:rsidRDefault="003879FD" w:rsidP="003879FD">
      <w:pPr>
        <w:rPr>
          <w:b/>
          <w:lang w:val="en-US"/>
        </w:rPr>
      </w:pPr>
      <w:r w:rsidRPr="003879FD">
        <w:rPr>
          <w:b/>
          <w:lang w:val="en-US"/>
        </w:rPr>
        <w:t>p. 13</w:t>
      </w:r>
    </w:p>
    <w:p w14:paraId="12BCA288" w14:textId="77777777" w:rsidR="003879FD" w:rsidRDefault="003879FD" w:rsidP="003879FD">
      <w:pPr>
        <w:pStyle w:val="a6"/>
        <w:numPr>
          <w:ilvl w:val="0"/>
          <w:numId w:val="4"/>
        </w:numPr>
        <w:rPr>
          <w:lang w:val="en-US"/>
        </w:rPr>
      </w:pPr>
      <w:r w:rsidRPr="003879FD">
        <w:rPr>
          <w:lang w:val="en-US"/>
        </w:rPr>
        <w:t xml:space="preserve">The members of </w:t>
      </w:r>
      <w:r w:rsidRPr="003879FD">
        <w:rPr>
          <w:b/>
          <w:strike/>
          <w:lang w:val="en-US"/>
        </w:rPr>
        <w:t>groups</w:t>
      </w:r>
      <w:r w:rsidRPr="003879FD">
        <w:rPr>
          <w:lang w:val="en-US"/>
        </w:rPr>
        <w:t xml:space="preserve"> </w:t>
      </w:r>
      <w:r w:rsidRPr="003879FD">
        <w:rPr>
          <w:b/>
          <w:lang w:val="en-US"/>
        </w:rPr>
        <w:t xml:space="preserve">classes </w:t>
      </w:r>
      <w:r w:rsidRPr="003879FD">
        <w:rPr>
          <w:lang w:val="en-US"/>
        </w:rPr>
        <w:t>1,2 and 4 are dependent on a zinc ion</w:t>
      </w:r>
    </w:p>
    <w:p w14:paraId="69B3E969" w14:textId="411C3A34" w:rsidR="003879FD" w:rsidRDefault="003879FD" w:rsidP="003879FD">
      <w:pPr>
        <w:pStyle w:val="a6"/>
        <w:numPr>
          <w:ilvl w:val="0"/>
          <w:numId w:val="4"/>
        </w:numPr>
        <w:rPr>
          <w:lang w:val="en-US"/>
        </w:rPr>
      </w:pPr>
      <w:r w:rsidRPr="003879FD">
        <w:rPr>
          <w:lang w:val="en-US"/>
        </w:rPr>
        <w:t xml:space="preserve">Several </w:t>
      </w:r>
      <w:r w:rsidRPr="003879FD">
        <w:rPr>
          <w:b/>
          <w:strike/>
          <w:lang w:val="en-US"/>
        </w:rPr>
        <w:t>recent</w:t>
      </w:r>
      <w:r w:rsidRPr="003879FD">
        <w:rPr>
          <w:lang w:val="en-US"/>
        </w:rPr>
        <w:t xml:space="preserve"> high resolution crystal structures</w:t>
      </w:r>
    </w:p>
    <w:p w14:paraId="72F1AC63" w14:textId="3B49C4C6" w:rsidR="00840F8B" w:rsidRPr="00DE76A4" w:rsidRDefault="0034342E" w:rsidP="00840F8B">
      <w:pPr>
        <w:pStyle w:val="a6"/>
        <w:numPr>
          <w:ilvl w:val="0"/>
          <w:numId w:val="13"/>
        </w:numPr>
        <w:rPr>
          <w:highlight w:val="yellow"/>
        </w:rPr>
      </w:pPr>
      <w:r w:rsidRPr="0034342E">
        <w:rPr>
          <w:highlight w:val="yellow"/>
          <w:lang w:val="en-US"/>
        </w:rPr>
        <w:t xml:space="preserve">They </w:t>
      </w:r>
      <w:r w:rsidR="00EF14B4">
        <w:rPr>
          <w:highlight w:val="yellow"/>
          <w:lang w:val="en-US"/>
        </w:rPr>
        <w:t>have been</w:t>
      </w:r>
      <w:r w:rsidRPr="0034342E">
        <w:rPr>
          <w:highlight w:val="yellow"/>
          <w:lang w:val="en-US"/>
        </w:rPr>
        <w:t xml:space="preserve"> corrected</w:t>
      </w:r>
      <w:r w:rsidR="00045C7C">
        <w:rPr>
          <w:highlight w:val="yellow"/>
          <w:lang w:val="en-US"/>
        </w:rPr>
        <w:t xml:space="preserve"> as well</w:t>
      </w:r>
      <w:r w:rsidRPr="0034342E">
        <w:rPr>
          <w:highlight w:val="yellow"/>
          <w:lang w:val="en-US"/>
        </w:rPr>
        <w:t>.</w:t>
      </w:r>
      <w:r w:rsidR="00DE76A4" w:rsidRPr="00DE76A4">
        <w:rPr>
          <w:highlight w:val="yellow"/>
          <w:lang w:val="en-US"/>
        </w:rPr>
        <w:t xml:space="preserve"> </w:t>
      </w:r>
      <w:r w:rsidR="00DE76A4" w:rsidRPr="00DE76A4">
        <w:rPr>
          <w:highlight w:val="yellow"/>
        </w:rPr>
        <w:t xml:space="preserve">(p. </w:t>
      </w:r>
      <w:r w:rsidR="00DE76A4">
        <w:rPr>
          <w:highlight w:val="yellow"/>
        </w:rPr>
        <w:t>9</w:t>
      </w:r>
      <w:r w:rsidR="00DE76A4" w:rsidRPr="00DE76A4">
        <w:rPr>
          <w:highlight w:val="yellow"/>
        </w:rPr>
        <w:t>/35 in AOP Snapshot 212-2021-07-02T02_03)</w:t>
      </w:r>
    </w:p>
    <w:p w14:paraId="360E4F37" w14:textId="77777777" w:rsidR="00AE0025" w:rsidRPr="00DE76A4" w:rsidRDefault="00AE0025" w:rsidP="000C4A8C"/>
    <w:p w14:paraId="5E01C44D" w14:textId="77777777" w:rsidR="003879FD" w:rsidRPr="003879FD" w:rsidRDefault="003879FD" w:rsidP="000C4A8C">
      <w:pPr>
        <w:rPr>
          <w:b/>
          <w:lang w:val="en-US"/>
        </w:rPr>
      </w:pPr>
      <w:r w:rsidRPr="003879FD">
        <w:rPr>
          <w:b/>
          <w:lang w:val="en-US"/>
        </w:rPr>
        <w:t>p. 14</w:t>
      </w:r>
    </w:p>
    <w:p w14:paraId="04D49737" w14:textId="77777777" w:rsidR="003879FD" w:rsidRDefault="003879FD" w:rsidP="000C4A8C">
      <w:pPr>
        <w:rPr>
          <w:lang w:val="en-US"/>
        </w:rPr>
      </w:pPr>
      <w:r w:rsidRPr="003879FD">
        <w:rPr>
          <w:i/>
          <w:iCs/>
          <w:lang w:val="en-US"/>
        </w:rPr>
        <w:t xml:space="preserve">in silico </w:t>
      </w:r>
      <w:r w:rsidRPr="003879FD">
        <w:rPr>
          <w:lang w:val="en-US"/>
        </w:rPr>
        <w:t>methods including molecular modelling, virtual screening and molecular dynamics are used to find the common HDAC inhibitor structures</w:t>
      </w:r>
    </w:p>
    <w:p w14:paraId="6AB9D944" w14:textId="77777777" w:rsidR="003879FD" w:rsidRDefault="003879FD" w:rsidP="000C4A8C">
      <w:pPr>
        <w:rPr>
          <w:color w:val="0070C0"/>
          <w:lang w:val="en-US"/>
        </w:rPr>
      </w:pPr>
      <w:r w:rsidRPr="003F0E25">
        <w:rPr>
          <w:color w:val="0070C0"/>
          <w:lang w:val="en-US"/>
        </w:rPr>
        <w:lastRenderedPageBreak/>
        <w:t xml:space="preserve">This statement is not related to the measurement of the MIE and should be moved </w:t>
      </w:r>
      <w:r w:rsidR="003F0E25" w:rsidRPr="003F0E25">
        <w:rPr>
          <w:color w:val="0070C0"/>
          <w:lang w:val="en-US"/>
        </w:rPr>
        <w:t>to the key event description</w:t>
      </w:r>
    </w:p>
    <w:p w14:paraId="76D1000F" w14:textId="60BC6F73" w:rsidR="00AF3FFC" w:rsidRPr="00DA79B5" w:rsidRDefault="0034342E" w:rsidP="000C4A8C">
      <w:pPr>
        <w:rPr>
          <w:color w:val="000000" w:themeColor="text1"/>
        </w:rPr>
      </w:pPr>
      <w:r w:rsidRPr="0034342E">
        <w:rPr>
          <w:color w:val="000000" w:themeColor="text1"/>
          <w:highlight w:val="yellow"/>
          <w:lang w:val="en-US"/>
        </w:rPr>
        <w:sym w:font="Wingdings" w:char="F0E0"/>
      </w:r>
      <w:r w:rsidRPr="0034342E">
        <w:rPr>
          <w:color w:val="000000" w:themeColor="text1"/>
          <w:highlight w:val="yellow"/>
          <w:lang w:val="en-US"/>
        </w:rPr>
        <w:t xml:space="preserve"> The sentence has been moved to the key event description.</w:t>
      </w:r>
      <w:r w:rsidR="00DA79B5" w:rsidRPr="00DA79B5">
        <w:rPr>
          <w:highlight w:val="yellow"/>
          <w:lang w:val="en-US"/>
        </w:rPr>
        <w:t xml:space="preserve"> </w:t>
      </w:r>
      <w:r w:rsidR="00DA79B5" w:rsidRPr="00DA79B5">
        <w:rPr>
          <w:highlight w:val="yellow"/>
        </w:rPr>
        <w:t xml:space="preserve">(p. </w:t>
      </w:r>
      <w:r w:rsidR="00DA79B5">
        <w:rPr>
          <w:highlight w:val="yellow"/>
        </w:rPr>
        <w:t>9</w:t>
      </w:r>
      <w:r w:rsidR="00DA79B5" w:rsidRPr="00DA79B5">
        <w:rPr>
          <w:highlight w:val="yellow"/>
        </w:rPr>
        <w:t>/35 in AOP Snapshot 212-2021-07-02T02_03)</w:t>
      </w:r>
    </w:p>
    <w:p w14:paraId="6EBB75DE" w14:textId="77777777" w:rsidR="0034342E" w:rsidRPr="00DA79B5" w:rsidRDefault="0034342E" w:rsidP="000C4A8C">
      <w:pPr>
        <w:rPr>
          <w:color w:val="0070C0"/>
        </w:rPr>
      </w:pPr>
    </w:p>
    <w:p w14:paraId="4AFC310A" w14:textId="77777777" w:rsidR="00AF3FFC" w:rsidRPr="00AF3FFC" w:rsidRDefault="00AF3FFC" w:rsidP="000C4A8C">
      <w:pPr>
        <w:rPr>
          <w:b/>
          <w:lang w:val="en-US"/>
        </w:rPr>
      </w:pPr>
      <w:r w:rsidRPr="00AF3FFC">
        <w:rPr>
          <w:b/>
          <w:lang w:val="en-US"/>
        </w:rPr>
        <w:t>p. 17</w:t>
      </w:r>
    </w:p>
    <w:p w14:paraId="47F2348F" w14:textId="77777777" w:rsidR="00AF3FFC" w:rsidRDefault="00AF3FFC" w:rsidP="000C4A8C">
      <w:pPr>
        <w:rPr>
          <w:lang w:val="en-US"/>
        </w:rPr>
      </w:pPr>
      <w:r w:rsidRPr="00AF3FFC">
        <w:rPr>
          <w:lang w:val="en-US"/>
        </w:rPr>
        <w:t>DNA in acetylated histones is more accessible for transcription factors, leading to increase in gene expression.</w:t>
      </w:r>
    </w:p>
    <w:p w14:paraId="31D72951" w14:textId="77777777" w:rsidR="00AF3FFC" w:rsidRDefault="00AF3FFC" w:rsidP="000C4A8C">
      <w:pPr>
        <w:rPr>
          <w:color w:val="0070C0"/>
          <w:lang w:val="en-US"/>
        </w:rPr>
      </w:pPr>
      <w:r w:rsidRPr="00AF3FFC">
        <w:rPr>
          <w:color w:val="0070C0"/>
          <w:lang w:val="en-US"/>
        </w:rPr>
        <w:t>This sentence could be deleted, this is already mentioned at the beginning of the paragraph</w:t>
      </w:r>
    </w:p>
    <w:p w14:paraId="2658DA53" w14:textId="213D8307" w:rsidR="00E33076" w:rsidRPr="004A0D9B" w:rsidRDefault="008F55B0" w:rsidP="000C4A8C">
      <w:pPr>
        <w:rPr>
          <w:color w:val="000000" w:themeColor="text1"/>
        </w:rPr>
      </w:pPr>
      <w:r w:rsidRPr="008F55B0">
        <w:rPr>
          <w:color w:val="000000" w:themeColor="text1"/>
          <w:highlight w:val="yellow"/>
          <w:lang w:val="en-US"/>
        </w:rPr>
        <w:sym w:font="Wingdings" w:char="F0E0"/>
      </w:r>
      <w:r w:rsidRPr="008F55B0">
        <w:rPr>
          <w:color w:val="000000" w:themeColor="text1"/>
          <w:highlight w:val="yellow"/>
          <w:lang w:val="en-US"/>
        </w:rPr>
        <w:t xml:space="preserve"> This sentence has been deleted.</w:t>
      </w:r>
      <w:r w:rsidR="004A0D9B" w:rsidRPr="004A0D9B">
        <w:rPr>
          <w:highlight w:val="yellow"/>
          <w:lang w:val="en-US"/>
        </w:rPr>
        <w:t xml:space="preserve"> </w:t>
      </w:r>
      <w:r w:rsidR="004A0D9B" w:rsidRPr="004A0D9B">
        <w:rPr>
          <w:highlight w:val="yellow"/>
        </w:rPr>
        <w:t xml:space="preserve">(p. </w:t>
      </w:r>
      <w:r w:rsidR="004A0D9B">
        <w:rPr>
          <w:highlight w:val="yellow"/>
        </w:rPr>
        <w:t>12</w:t>
      </w:r>
      <w:r w:rsidR="004A0D9B" w:rsidRPr="004A0D9B">
        <w:rPr>
          <w:highlight w:val="yellow"/>
        </w:rPr>
        <w:t>/35 in AOP Snapshot 212-2021-07-02T02_03)</w:t>
      </w:r>
    </w:p>
    <w:p w14:paraId="0FEC1EF7" w14:textId="77777777" w:rsidR="008F55B0" w:rsidRPr="004A0D9B" w:rsidRDefault="008F55B0" w:rsidP="000C4A8C">
      <w:pPr>
        <w:rPr>
          <w:color w:val="0070C0"/>
        </w:rPr>
      </w:pPr>
    </w:p>
    <w:p w14:paraId="39BC6A16" w14:textId="77777777" w:rsidR="00E33076" w:rsidRPr="00E33076" w:rsidRDefault="00E33076" w:rsidP="000C4A8C">
      <w:pPr>
        <w:rPr>
          <w:b/>
          <w:lang w:val="en-US"/>
        </w:rPr>
      </w:pPr>
      <w:r w:rsidRPr="00E33076">
        <w:rPr>
          <w:b/>
          <w:lang w:val="en-US"/>
        </w:rPr>
        <w:t xml:space="preserve">p. 21 </w:t>
      </w:r>
    </w:p>
    <w:p w14:paraId="0C3E8FDC" w14:textId="77777777" w:rsidR="00E33076" w:rsidRDefault="00E33076" w:rsidP="0016232A">
      <w:pPr>
        <w:pStyle w:val="a6"/>
        <w:numPr>
          <w:ilvl w:val="0"/>
          <w:numId w:val="4"/>
        </w:numPr>
        <w:rPr>
          <w:lang w:val="en-US"/>
        </w:rPr>
      </w:pPr>
      <w:r w:rsidRPr="00E33076">
        <w:rPr>
          <w:lang w:val="en-US"/>
        </w:rPr>
        <w:t>however, the alternative pathway such as NF-kB signaling pathways may be involved in apoptosis of spermatocytes</w:t>
      </w:r>
    </w:p>
    <w:p w14:paraId="5721916F" w14:textId="208C1709" w:rsidR="00E33076" w:rsidRDefault="00E33076" w:rsidP="00E33076">
      <w:pPr>
        <w:pStyle w:val="a6"/>
        <w:numPr>
          <w:ilvl w:val="0"/>
          <w:numId w:val="5"/>
        </w:numPr>
        <w:rPr>
          <w:color w:val="0070C0"/>
          <w:lang w:val="en-US"/>
        </w:rPr>
      </w:pPr>
      <w:r w:rsidRPr="00E33076">
        <w:rPr>
          <w:color w:val="0070C0"/>
          <w:lang w:val="en-US"/>
        </w:rPr>
        <w:t>however, alternative pathways</w:t>
      </w:r>
    </w:p>
    <w:p w14:paraId="395C741C" w14:textId="2282B71D" w:rsidR="009D688C" w:rsidRPr="00F276AC" w:rsidRDefault="009D688C" w:rsidP="00E33076">
      <w:pPr>
        <w:pStyle w:val="a6"/>
        <w:numPr>
          <w:ilvl w:val="0"/>
          <w:numId w:val="5"/>
        </w:numPr>
        <w:rPr>
          <w:color w:val="000000" w:themeColor="text1"/>
          <w:highlight w:val="yellow"/>
        </w:rPr>
      </w:pPr>
      <w:r w:rsidRPr="009D688C">
        <w:rPr>
          <w:rFonts w:hint="eastAsia"/>
          <w:color w:val="000000" w:themeColor="text1"/>
          <w:highlight w:val="yellow"/>
          <w:lang w:val="en-US"/>
        </w:rPr>
        <w:t>C</w:t>
      </w:r>
      <w:r w:rsidRPr="009D688C">
        <w:rPr>
          <w:color w:val="000000" w:themeColor="text1"/>
          <w:highlight w:val="yellow"/>
          <w:lang w:val="en-US"/>
        </w:rPr>
        <w:t>orrected.</w:t>
      </w:r>
      <w:r w:rsidR="004A0D9B" w:rsidRPr="004A0D9B">
        <w:rPr>
          <w:highlight w:val="yellow"/>
          <w:lang w:val="en-US"/>
        </w:rPr>
        <w:t xml:space="preserve"> </w:t>
      </w:r>
      <w:r w:rsidR="004A0D9B" w:rsidRPr="00F276AC">
        <w:rPr>
          <w:highlight w:val="yellow"/>
        </w:rPr>
        <w:t xml:space="preserve">(p. </w:t>
      </w:r>
      <w:r w:rsidR="004A0D9B" w:rsidRPr="00F276AC">
        <w:rPr>
          <w:highlight w:val="yellow"/>
        </w:rPr>
        <w:t>1</w:t>
      </w:r>
      <w:r w:rsidR="004A0D9B" w:rsidRPr="00F276AC">
        <w:rPr>
          <w:highlight w:val="yellow"/>
        </w:rPr>
        <w:t>5/35 in AOP Snapshot 212-2021-07-02T02_03)</w:t>
      </w:r>
    </w:p>
    <w:p w14:paraId="3DD5371A" w14:textId="77777777" w:rsidR="0016232A" w:rsidRDefault="0016232A" w:rsidP="0016232A">
      <w:pPr>
        <w:pStyle w:val="a6"/>
        <w:numPr>
          <w:ilvl w:val="0"/>
          <w:numId w:val="4"/>
        </w:numPr>
        <w:rPr>
          <w:lang w:val="en-US"/>
        </w:rPr>
      </w:pPr>
      <w:r w:rsidRPr="0016232A">
        <w:rPr>
          <w:lang w:val="en-US"/>
        </w:rPr>
        <w:t xml:space="preserve">such as cell shrinkage and pyknosis, </w:t>
      </w:r>
      <w:r w:rsidRPr="0016232A">
        <w:rPr>
          <w:b/>
          <w:lang w:val="en-US"/>
        </w:rPr>
        <w:t>inclusion of</w:t>
      </w:r>
      <w:r w:rsidRPr="0016232A">
        <w:rPr>
          <w:lang w:val="en-US"/>
        </w:rPr>
        <w:t xml:space="preserve"> cell fragments into apoptotic bodies</w:t>
      </w:r>
    </w:p>
    <w:p w14:paraId="37AFA9E0" w14:textId="6F45A767" w:rsidR="0016232A" w:rsidRPr="009D688C" w:rsidRDefault="0016232A" w:rsidP="0016232A">
      <w:pPr>
        <w:pStyle w:val="a6"/>
        <w:numPr>
          <w:ilvl w:val="0"/>
          <w:numId w:val="4"/>
        </w:numPr>
        <w:rPr>
          <w:lang w:val="en-US"/>
        </w:rPr>
      </w:pPr>
      <w:r w:rsidRPr="0016232A">
        <w:rPr>
          <w:lang w:val="en-US"/>
        </w:rPr>
        <w:t>such as cell shrinkage and pyknosis, cell fragments into apoptotic bodies</w:t>
      </w:r>
      <w:r>
        <w:rPr>
          <w:lang w:val="en-US"/>
        </w:rPr>
        <w:t xml:space="preserve"> </w:t>
      </w:r>
      <w:r>
        <w:rPr>
          <w:color w:val="0070C0"/>
          <w:lang w:val="en-US"/>
        </w:rPr>
        <w:t xml:space="preserve">– how is this </w:t>
      </w:r>
      <w:r w:rsidR="007B033E">
        <w:rPr>
          <w:color w:val="0070C0"/>
          <w:lang w:val="en-US"/>
        </w:rPr>
        <w:t>quantified</w:t>
      </w:r>
      <w:r>
        <w:rPr>
          <w:color w:val="0070C0"/>
          <w:lang w:val="en-US"/>
        </w:rPr>
        <w:t>?</w:t>
      </w:r>
    </w:p>
    <w:p w14:paraId="5E3400C5" w14:textId="6013836E" w:rsidR="009D688C" w:rsidRPr="00F13330" w:rsidRDefault="009D688C" w:rsidP="009D688C">
      <w:pPr>
        <w:pStyle w:val="a6"/>
        <w:rPr>
          <w:color w:val="000000" w:themeColor="text1"/>
          <w:highlight w:val="yellow"/>
          <w:lang w:val="en-US"/>
        </w:rPr>
      </w:pPr>
      <w:r w:rsidRPr="00F13330">
        <w:rPr>
          <w:color w:val="000000" w:themeColor="text1"/>
          <w:highlight w:val="yellow"/>
          <w:lang w:val="en-US"/>
        </w:rPr>
        <w:sym w:font="Wingdings" w:char="F0E0"/>
      </w:r>
      <w:r w:rsidRPr="00F13330">
        <w:rPr>
          <w:color w:val="000000" w:themeColor="text1"/>
          <w:highlight w:val="yellow"/>
          <w:lang w:val="en-US"/>
        </w:rPr>
        <w:t xml:space="preserve"> The sentences have been </w:t>
      </w:r>
      <w:r w:rsidR="00823EC2" w:rsidRPr="00F13330">
        <w:rPr>
          <w:color w:val="000000" w:themeColor="text1"/>
          <w:highlight w:val="yellow"/>
          <w:lang w:val="en-US"/>
        </w:rPr>
        <w:t>revised as follows and the reference has been added</w:t>
      </w:r>
      <w:r w:rsidR="00F276AC">
        <w:rPr>
          <w:color w:val="000000" w:themeColor="text1"/>
          <w:highlight w:val="yellow"/>
          <w:lang w:val="en-US"/>
        </w:rPr>
        <w:t xml:space="preserve"> </w:t>
      </w:r>
      <w:r w:rsidR="00F276AC">
        <w:rPr>
          <w:highlight w:val="yellow"/>
          <w:lang w:val="en-US"/>
        </w:rPr>
        <w:t>(p. 15/35 in AOP Snapshot 212-2021-07-02T02_03)</w:t>
      </w:r>
      <w:r w:rsidR="00823EC2" w:rsidRPr="00F13330">
        <w:rPr>
          <w:color w:val="000000" w:themeColor="text1"/>
          <w:highlight w:val="yellow"/>
          <w:lang w:val="en-US"/>
        </w:rPr>
        <w:t>:</w:t>
      </w:r>
    </w:p>
    <w:p w14:paraId="19304598" w14:textId="7E5DEB75" w:rsidR="00823EC2" w:rsidRPr="00F13330" w:rsidRDefault="000F4B99" w:rsidP="009D688C">
      <w:pPr>
        <w:pStyle w:val="a6"/>
        <w:rPr>
          <w:color w:val="000000" w:themeColor="text1"/>
          <w:highlight w:val="yellow"/>
          <w:lang w:val="en-US"/>
        </w:rPr>
      </w:pPr>
      <w:r w:rsidRPr="00F13330">
        <w:rPr>
          <w:color w:val="000000" w:themeColor="text1"/>
          <w:highlight w:val="yellow"/>
          <w:lang w:val="en-US"/>
        </w:rPr>
        <w:t>“</w:t>
      </w:r>
      <w:proofErr w:type="gramStart"/>
      <w:r w:rsidRPr="00F13330">
        <w:rPr>
          <w:color w:val="000000" w:themeColor="text1"/>
          <w:highlight w:val="yellow"/>
          <w:lang w:val="en-US"/>
        </w:rPr>
        <w:t>such</w:t>
      </w:r>
      <w:proofErr w:type="gramEnd"/>
      <w:r w:rsidRPr="00F13330">
        <w:rPr>
          <w:color w:val="000000" w:themeColor="text1"/>
          <w:highlight w:val="yellow"/>
          <w:lang w:val="en-US"/>
        </w:rPr>
        <w:t xml:space="preserve"> as homogenous condensation of chromatin to one side or the periphery of the nuclei, </w:t>
      </w:r>
      <w:r w:rsidR="00A758A6" w:rsidRPr="00F13330">
        <w:rPr>
          <w:color w:val="000000" w:themeColor="text1"/>
          <w:highlight w:val="yellow"/>
          <w:lang w:val="en-US"/>
        </w:rPr>
        <w:t xml:space="preserve">membrane blebbing and formation of </w:t>
      </w:r>
      <w:r w:rsidRPr="00F13330">
        <w:rPr>
          <w:color w:val="000000" w:themeColor="text1"/>
          <w:highlight w:val="yellow"/>
          <w:lang w:val="en-US"/>
        </w:rPr>
        <w:t>apoptotic bodies</w:t>
      </w:r>
      <w:r w:rsidR="00A758A6" w:rsidRPr="00F13330">
        <w:rPr>
          <w:color w:val="000000" w:themeColor="text1"/>
          <w:highlight w:val="yellow"/>
          <w:lang w:val="en-US"/>
        </w:rPr>
        <w:t xml:space="preserve"> with fragmented nuclei</w:t>
      </w:r>
      <w:r w:rsidRPr="00F13330">
        <w:rPr>
          <w:color w:val="000000" w:themeColor="text1"/>
          <w:highlight w:val="yellow"/>
          <w:lang w:val="en-US"/>
        </w:rPr>
        <w:t>, DNA fragmentation, enzymatic activation of pro-caspases</w:t>
      </w:r>
      <w:r w:rsidR="00F13330" w:rsidRPr="00F13330">
        <w:rPr>
          <w:color w:val="000000" w:themeColor="text1"/>
          <w:highlight w:val="yellow"/>
          <w:lang w:val="en-US"/>
        </w:rPr>
        <w:t>,</w:t>
      </w:r>
      <w:r w:rsidRPr="00F13330">
        <w:rPr>
          <w:color w:val="000000" w:themeColor="text1"/>
          <w:highlight w:val="yellow"/>
          <w:lang w:val="en-US"/>
        </w:rPr>
        <w:t xml:space="preserve"> or phosphatidylserine translocation that can be measured using electron and cytochemical optical microscopy, proteomic and genomic methods, </w:t>
      </w:r>
      <w:r w:rsidR="00A758A6" w:rsidRPr="00F13330">
        <w:rPr>
          <w:color w:val="000000" w:themeColor="text1"/>
          <w:highlight w:val="yellow"/>
          <w:lang w:val="en-US"/>
        </w:rPr>
        <w:t xml:space="preserve">and </w:t>
      </w:r>
      <w:r w:rsidRPr="00F13330">
        <w:rPr>
          <w:color w:val="000000" w:themeColor="text1"/>
          <w:highlight w:val="yellow"/>
          <w:lang w:val="en-US"/>
        </w:rPr>
        <w:t>spectroscopic techniques [Archana et al., 2013; Martinez et al., 2010; </w:t>
      </w:r>
      <w:proofErr w:type="spellStart"/>
      <w:r w:rsidRPr="00F13330">
        <w:rPr>
          <w:color w:val="000000" w:themeColor="text1"/>
          <w:highlight w:val="yellow"/>
          <w:lang w:val="en-US"/>
        </w:rPr>
        <w:t>Taatjes</w:t>
      </w:r>
      <w:proofErr w:type="spellEnd"/>
      <w:r w:rsidRPr="00F13330">
        <w:rPr>
          <w:color w:val="000000" w:themeColor="text1"/>
          <w:highlight w:val="yellow"/>
          <w:lang w:val="en-US"/>
        </w:rPr>
        <w:t xml:space="preserve"> et al., 2008; Yasuhara et al., 2003].”</w:t>
      </w:r>
      <w:r w:rsidR="00F276AC" w:rsidRPr="00F276AC">
        <w:rPr>
          <w:highlight w:val="yellow"/>
          <w:lang w:val="en-US"/>
        </w:rPr>
        <w:t xml:space="preserve"> </w:t>
      </w:r>
    </w:p>
    <w:p w14:paraId="4639504B" w14:textId="1FCA35EC" w:rsidR="00822AEA" w:rsidRPr="00F13330" w:rsidRDefault="00822AEA" w:rsidP="009D688C">
      <w:pPr>
        <w:pStyle w:val="a6"/>
        <w:rPr>
          <w:color w:val="000000" w:themeColor="text1"/>
          <w:highlight w:val="yellow"/>
          <w:lang w:val="en-US"/>
        </w:rPr>
      </w:pPr>
    </w:p>
    <w:p w14:paraId="2B836F0F" w14:textId="2AEA0022" w:rsidR="00822AEA" w:rsidRDefault="00822AEA" w:rsidP="009D688C">
      <w:pPr>
        <w:pStyle w:val="a6"/>
        <w:rPr>
          <w:color w:val="000000" w:themeColor="text1"/>
          <w:lang w:val="en-US" w:eastAsia="ja-JP"/>
        </w:rPr>
      </w:pPr>
      <w:r w:rsidRPr="00F13330">
        <w:rPr>
          <w:rFonts w:hint="eastAsia"/>
          <w:color w:val="000000" w:themeColor="text1"/>
          <w:highlight w:val="yellow"/>
          <w:lang w:val="en-US" w:eastAsia="ja-JP"/>
        </w:rPr>
        <w:t>・</w:t>
      </w:r>
      <w:r w:rsidRPr="00F13330">
        <w:rPr>
          <w:color w:val="000000" w:themeColor="text1"/>
          <w:highlight w:val="yellow"/>
          <w:lang w:val="en-US" w:eastAsia="ja-JP"/>
        </w:rPr>
        <w:t xml:space="preserve">DNA fragmentation can be quantified with comet assay </w:t>
      </w:r>
      <w:r w:rsidR="00775628">
        <w:rPr>
          <w:color w:val="000000" w:themeColor="text1"/>
          <w:highlight w:val="yellow"/>
          <w:lang w:val="en-US" w:eastAsia="ja-JP"/>
        </w:rPr>
        <w:t xml:space="preserve">using electrophoresis, </w:t>
      </w:r>
      <w:r w:rsidRPr="00F13330">
        <w:rPr>
          <w:color w:val="000000" w:themeColor="text1"/>
          <w:highlight w:val="yellow"/>
          <w:lang w:val="en-US" w:eastAsia="ja-JP"/>
        </w:rPr>
        <w:t xml:space="preserve">where </w:t>
      </w:r>
      <w:r w:rsidR="00F13330" w:rsidRPr="00F13330">
        <w:rPr>
          <w:color w:val="000000" w:themeColor="text1"/>
          <w:highlight w:val="yellow"/>
          <w:lang w:val="en-US" w:eastAsia="ja-JP"/>
        </w:rPr>
        <w:t>the tail length, head size, tail intensity, and head intensity of the comet are measured [Yasuhara et al., 2003].</w:t>
      </w:r>
    </w:p>
    <w:p w14:paraId="65E564FA" w14:textId="77777777" w:rsidR="000F4B99" w:rsidRDefault="000F4B99" w:rsidP="009D688C">
      <w:pPr>
        <w:pStyle w:val="a6"/>
        <w:rPr>
          <w:color w:val="000000" w:themeColor="text1"/>
          <w:lang w:val="en-US"/>
        </w:rPr>
      </w:pPr>
    </w:p>
    <w:p w14:paraId="78C8BCB5" w14:textId="71DCB4E2" w:rsidR="00F14AF8" w:rsidRPr="000F4B99" w:rsidRDefault="00F14AF8" w:rsidP="009D688C">
      <w:pPr>
        <w:pStyle w:val="a6"/>
        <w:rPr>
          <w:color w:val="000000" w:themeColor="text1"/>
          <w:highlight w:val="yellow"/>
          <w:lang w:val="en-US"/>
        </w:rPr>
      </w:pPr>
      <w:r w:rsidRPr="000F4B99">
        <w:rPr>
          <w:rFonts w:hint="eastAsia"/>
          <w:color w:val="000000" w:themeColor="text1"/>
          <w:highlight w:val="yellow"/>
          <w:lang w:val="en-US"/>
        </w:rPr>
        <w:t>R</w:t>
      </w:r>
      <w:r w:rsidRPr="000F4B99">
        <w:rPr>
          <w:color w:val="000000" w:themeColor="text1"/>
          <w:highlight w:val="yellow"/>
          <w:lang w:val="en-US"/>
        </w:rPr>
        <w:t>eference added:</w:t>
      </w:r>
    </w:p>
    <w:p w14:paraId="3B1443CE" w14:textId="2C18088F" w:rsidR="00F14AF8" w:rsidRPr="00F14AF8" w:rsidRDefault="00F14AF8" w:rsidP="009D688C">
      <w:pPr>
        <w:pStyle w:val="a6"/>
        <w:rPr>
          <w:color w:val="000000" w:themeColor="text1"/>
          <w:lang w:val="en-US"/>
        </w:rPr>
      </w:pPr>
      <w:r w:rsidRPr="003E5B96">
        <w:rPr>
          <w:rFonts w:hint="eastAsia"/>
          <w:color w:val="000000" w:themeColor="text1"/>
          <w:highlight w:val="yellow"/>
          <w:lang w:val="en-US"/>
        </w:rPr>
        <w:t>Y</w:t>
      </w:r>
      <w:r w:rsidRPr="003E5B96">
        <w:rPr>
          <w:color w:val="000000" w:themeColor="text1"/>
          <w:highlight w:val="yellow"/>
          <w:lang w:val="en-US"/>
        </w:rPr>
        <w:t xml:space="preserve">asuhara, S. et al. </w:t>
      </w:r>
      <w:r w:rsidRPr="000F4B99">
        <w:rPr>
          <w:color w:val="000000" w:themeColor="text1"/>
          <w:highlight w:val="yellow"/>
          <w:lang w:val="en-US"/>
        </w:rPr>
        <w:t xml:space="preserve">(2003), “Comparison of comet assay, electron microscopy, and flow cytometry for detection of apoptosis”, J </w:t>
      </w:r>
      <w:proofErr w:type="spellStart"/>
      <w:r w:rsidRPr="000F4B99">
        <w:rPr>
          <w:color w:val="000000" w:themeColor="text1"/>
          <w:highlight w:val="yellow"/>
          <w:lang w:val="en-US"/>
        </w:rPr>
        <w:t>Histochem</w:t>
      </w:r>
      <w:proofErr w:type="spellEnd"/>
      <w:r w:rsidRPr="000F4B99">
        <w:rPr>
          <w:color w:val="000000" w:themeColor="text1"/>
          <w:highlight w:val="yellow"/>
          <w:lang w:val="en-US"/>
        </w:rPr>
        <w:t xml:space="preserve"> </w:t>
      </w:r>
      <w:proofErr w:type="spellStart"/>
      <w:r w:rsidRPr="000F4B99">
        <w:rPr>
          <w:color w:val="000000" w:themeColor="text1"/>
          <w:highlight w:val="yellow"/>
          <w:lang w:val="en-US"/>
        </w:rPr>
        <w:t>Cytochem</w:t>
      </w:r>
      <w:proofErr w:type="spellEnd"/>
      <w:r w:rsidRPr="000F4B99">
        <w:rPr>
          <w:color w:val="000000" w:themeColor="text1"/>
          <w:highlight w:val="yellow"/>
          <w:lang w:val="en-US"/>
        </w:rPr>
        <w:t xml:space="preserve"> 51:873-885</w:t>
      </w:r>
    </w:p>
    <w:p w14:paraId="6914D083" w14:textId="77777777" w:rsidR="00D70989" w:rsidRPr="00F14AF8" w:rsidRDefault="00D70989" w:rsidP="00D70989">
      <w:pPr>
        <w:rPr>
          <w:lang w:val="en-US"/>
        </w:rPr>
      </w:pPr>
    </w:p>
    <w:p w14:paraId="68764192" w14:textId="77777777" w:rsidR="007B033E" w:rsidRPr="00F14AF8" w:rsidRDefault="007B033E" w:rsidP="00D70989">
      <w:pPr>
        <w:rPr>
          <w:b/>
          <w:lang w:val="en-US"/>
        </w:rPr>
      </w:pPr>
    </w:p>
    <w:p w14:paraId="5E901F22" w14:textId="49A20A69" w:rsidR="00D70989" w:rsidRPr="00D70989" w:rsidRDefault="00D70989" w:rsidP="00D70989">
      <w:pPr>
        <w:rPr>
          <w:b/>
          <w:lang w:val="en-US"/>
        </w:rPr>
      </w:pPr>
      <w:r w:rsidRPr="00D70989">
        <w:rPr>
          <w:b/>
          <w:lang w:val="en-US"/>
        </w:rPr>
        <w:t>p. 23</w:t>
      </w:r>
    </w:p>
    <w:p w14:paraId="5A074A9E" w14:textId="77777777" w:rsidR="00D70989" w:rsidRDefault="00D70989" w:rsidP="00D70989">
      <w:pPr>
        <w:rPr>
          <w:lang w:val="en-US"/>
        </w:rPr>
      </w:pPr>
      <w:r w:rsidRPr="00D70989">
        <w:rPr>
          <w:lang w:val="en-US"/>
        </w:rPr>
        <w:t xml:space="preserve">In several steps of the </w:t>
      </w:r>
      <w:proofErr w:type="spellStart"/>
      <w:r w:rsidRPr="00D70989">
        <w:rPr>
          <w:lang w:val="en-US"/>
        </w:rPr>
        <w:t>spermatogonial</w:t>
      </w:r>
      <w:proofErr w:type="spellEnd"/>
      <w:r w:rsidRPr="00D70989">
        <w:rPr>
          <w:lang w:val="en-US"/>
        </w:rPr>
        <w:t xml:space="preserve"> differentiation, different molecular mechanism is activated in testis</w:t>
      </w:r>
    </w:p>
    <w:p w14:paraId="64C6857C" w14:textId="3D325A76" w:rsidR="00D70989" w:rsidRDefault="00D70989" w:rsidP="00D70989">
      <w:pPr>
        <w:pStyle w:val="a6"/>
        <w:numPr>
          <w:ilvl w:val="0"/>
          <w:numId w:val="5"/>
        </w:numPr>
        <w:rPr>
          <w:color w:val="0070C0"/>
          <w:lang w:val="en-US"/>
        </w:rPr>
      </w:pPr>
      <w:r w:rsidRPr="00D70989">
        <w:rPr>
          <w:color w:val="0070C0"/>
          <w:lang w:val="en-US"/>
        </w:rPr>
        <w:t xml:space="preserve">in each step of the </w:t>
      </w:r>
      <w:proofErr w:type="spellStart"/>
      <w:r w:rsidRPr="00D70989">
        <w:rPr>
          <w:color w:val="0070C0"/>
          <w:lang w:val="en-US"/>
        </w:rPr>
        <w:t>spermatogonial</w:t>
      </w:r>
      <w:proofErr w:type="spellEnd"/>
      <w:r w:rsidRPr="00D70989">
        <w:rPr>
          <w:color w:val="0070C0"/>
          <w:lang w:val="en-US"/>
        </w:rPr>
        <w:t xml:space="preserve"> differentiation, different molecular mechanisms are activated in testis</w:t>
      </w:r>
    </w:p>
    <w:p w14:paraId="4FC522F4" w14:textId="53981373" w:rsidR="003E5B96" w:rsidRPr="004C7C2B" w:rsidRDefault="003E5B96" w:rsidP="00D70989">
      <w:pPr>
        <w:pStyle w:val="a6"/>
        <w:numPr>
          <w:ilvl w:val="0"/>
          <w:numId w:val="5"/>
        </w:numPr>
        <w:rPr>
          <w:color w:val="000000" w:themeColor="text1"/>
          <w:highlight w:val="yellow"/>
        </w:rPr>
      </w:pPr>
      <w:r w:rsidRPr="003E5B96">
        <w:rPr>
          <w:color w:val="000000" w:themeColor="text1"/>
          <w:highlight w:val="yellow"/>
          <w:lang w:val="en-US" w:eastAsia="ja-JP"/>
        </w:rPr>
        <w:t>Corrected.</w:t>
      </w:r>
      <w:r w:rsidR="007B1589" w:rsidRPr="007B1589">
        <w:rPr>
          <w:highlight w:val="yellow"/>
          <w:lang w:val="en-US"/>
        </w:rPr>
        <w:t xml:space="preserve"> </w:t>
      </w:r>
      <w:r w:rsidR="007B1589" w:rsidRPr="004C7C2B">
        <w:rPr>
          <w:highlight w:val="yellow"/>
        </w:rPr>
        <w:t>(p. 1</w:t>
      </w:r>
      <w:r w:rsidR="007B1589" w:rsidRPr="004C7C2B">
        <w:rPr>
          <w:highlight w:val="yellow"/>
        </w:rPr>
        <w:t>7</w:t>
      </w:r>
      <w:r w:rsidR="007B1589" w:rsidRPr="004C7C2B">
        <w:rPr>
          <w:highlight w:val="yellow"/>
        </w:rPr>
        <w:t>/35 in AOP Snapshot 212-2021-07-02T02_03)</w:t>
      </w:r>
    </w:p>
    <w:p w14:paraId="2EFBCA14" w14:textId="77777777" w:rsidR="00D70989" w:rsidRPr="004C7C2B" w:rsidRDefault="00D70989" w:rsidP="00D70989"/>
    <w:p w14:paraId="0C84278D" w14:textId="77777777" w:rsidR="00D70989" w:rsidRPr="00175CF5" w:rsidRDefault="00175CF5" w:rsidP="00D70989">
      <w:pPr>
        <w:rPr>
          <w:b/>
          <w:lang w:val="en-US"/>
        </w:rPr>
      </w:pPr>
      <w:r w:rsidRPr="00175CF5">
        <w:rPr>
          <w:b/>
          <w:lang w:val="en-US"/>
        </w:rPr>
        <w:t>p. 25</w:t>
      </w:r>
    </w:p>
    <w:p w14:paraId="44EE0E3C" w14:textId="77777777" w:rsidR="00175CF5" w:rsidRPr="00175CF5" w:rsidRDefault="00175CF5" w:rsidP="00D70989">
      <w:pPr>
        <w:rPr>
          <w:lang w:val="en-US"/>
        </w:rPr>
      </w:pPr>
      <w:r w:rsidRPr="00175CF5">
        <w:rPr>
          <w:b/>
          <w:lang w:val="en-US"/>
        </w:rPr>
        <w:t>Ethylene glycol monomethyl ether</w:t>
      </w:r>
      <w:r>
        <w:rPr>
          <w:lang w:val="en-US"/>
        </w:rPr>
        <w:t xml:space="preserve"> (</w:t>
      </w:r>
      <w:r w:rsidRPr="00175CF5">
        <w:rPr>
          <w:lang w:val="en-US"/>
        </w:rPr>
        <w:t>EGME)</w:t>
      </w:r>
      <w:r>
        <w:rPr>
          <w:lang w:val="en-US"/>
        </w:rPr>
        <w:t xml:space="preserve"> – </w:t>
      </w:r>
      <w:r w:rsidRPr="00175CF5">
        <w:rPr>
          <w:color w:val="0070C0"/>
          <w:lang w:val="en-US"/>
        </w:rPr>
        <w:t>abbreviation was not yet introduced</w:t>
      </w:r>
    </w:p>
    <w:p w14:paraId="7BA4EE9B" w14:textId="6928C8FD" w:rsidR="00D70989" w:rsidRPr="00176773" w:rsidRDefault="00831777" w:rsidP="00831777">
      <w:pPr>
        <w:pStyle w:val="a6"/>
        <w:numPr>
          <w:ilvl w:val="0"/>
          <w:numId w:val="5"/>
        </w:numPr>
        <w:rPr>
          <w:highlight w:val="yellow"/>
        </w:rPr>
      </w:pPr>
      <w:r w:rsidRPr="00BB3B4A">
        <w:rPr>
          <w:rFonts w:hint="eastAsia"/>
          <w:highlight w:val="yellow"/>
          <w:lang w:val="en-US"/>
        </w:rPr>
        <w:t>A</w:t>
      </w:r>
      <w:r w:rsidRPr="00BB3B4A">
        <w:rPr>
          <w:highlight w:val="yellow"/>
          <w:lang w:val="en-US"/>
        </w:rPr>
        <w:t>bbreviation has been added.</w:t>
      </w:r>
      <w:r w:rsidR="004C7C2B" w:rsidRPr="004C7C2B">
        <w:rPr>
          <w:highlight w:val="yellow"/>
          <w:lang w:val="en-US"/>
        </w:rPr>
        <w:t xml:space="preserve"> </w:t>
      </w:r>
      <w:r w:rsidR="004C7C2B" w:rsidRPr="00176773">
        <w:rPr>
          <w:highlight w:val="yellow"/>
        </w:rPr>
        <w:t>(p. 1</w:t>
      </w:r>
      <w:r w:rsidR="004C7C2B" w:rsidRPr="00176773">
        <w:rPr>
          <w:highlight w:val="yellow"/>
        </w:rPr>
        <w:t>8</w:t>
      </w:r>
      <w:r w:rsidR="004C7C2B" w:rsidRPr="00176773">
        <w:rPr>
          <w:highlight w:val="yellow"/>
        </w:rPr>
        <w:t>/35 in AOP Snapshot 212-2021-07-02T02_03)</w:t>
      </w:r>
    </w:p>
    <w:p w14:paraId="423653D4" w14:textId="77777777" w:rsidR="008138D9" w:rsidRPr="00176773" w:rsidRDefault="008138D9" w:rsidP="00D70989"/>
    <w:p w14:paraId="0162B636" w14:textId="77777777" w:rsidR="00D70989" w:rsidRPr="006A72AA" w:rsidRDefault="006A72AA" w:rsidP="00D70989">
      <w:pPr>
        <w:rPr>
          <w:b/>
          <w:lang w:val="en-US"/>
        </w:rPr>
      </w:pPr>
      <w:r w:rsidRPr="006A72AA">
        <w:rPr>
          <w:b/>
          <w:lang w:val="en-US"/>
        </w:rPr>
        <w:t>p. 26</w:t>
      </w:r>
    </w:p>
    <w:p w14:paraId="42F4D982" w14:textId="4818CA3D" w:rsidR="006A72AA" w:rsidRDefault="006A72AA" w:rsidP="00A519E5">
      <w:pPr>
        <w:pStyle w:val="a6"/>
        <w:numPr>
          <w:ilvl w:val="0"/>
          <w:numId w:val="4"/>
        </w:numPr>
        <w:rPr>
          <w:color w:val="0070C0"/>
          <w:lang w:val="en-US"/>
        </w:rPr>
      </w:pPr>
      <w:r w:rsidRPr="006A72AA">
        <w:rPr>
          <w:lang w:val="en-US"/>
        </w:rPr>
        <w:t>by one individual unaware of animal number or treatment</w:t>
      </w:r>
      <w:r>
        <w:rPr>
          <w:lang w:val="en-US"/>
        </w:rPr>
        <w:t xml:space="preserve"> – </w:t>
      </w:r>
      <w:r w:rsidRPr="00A519E5">
        <w:rPr>
          <w:color w:val="0070C0"/>
          <w:lang w:val="en-US"/>
        </w:rPr>
        <w:t>unclear what is meant here; since it describes an assay, it is suggested to delete this statement</w:t>
      </w:r>
    </w:p>
    <w:p w14:paraId="7A136577" w14:textId="2FA06049" w:rsidR="00831777" w:rsidRPr="00176773" w:rsidRDefault="00831777" w:rsidP="00831777">
      <w:pPr>
        <w:pStyle w:val="a6"/>
        <w:rPr>
          <w:color w:val="000000" w:themeColor="text1"/>
        </w:rPr>
      </w:pPr>
      <w:r w:rsidRPr="00831777">
        <w:rPr>
          <w:color w:val="000000" w:themeColor="text1"/>
          <w:highlight w:val="yellow"/>
          <w:lang w:val="en-US"/>
        </w:rPr>
        <w:sym w:font="Wingdings" w:char="F0E0"/>
      </w:r>
      <w:r w:rsidRPr="00831777">
        <w:rPr>
          <w:color w:val="000000" w:themeColor="text1"/>
          <w:highlight w:val="yellow"/>
          <w:lang w:val="en-US"/>
        </w:rPr>
        <w:t xml:space="preserve"> Deleted.</w:t>
      </w:r>
      <w:r w:rsidR="00176773" w:rsidRPr="00176773">
        <w:rPr>
          <w:highlight w:val="yellow"/>
          <w:lang w:val="en-US"/>
        </w:rPr>
        <w:t xml:space="preserve"> </w:t>
      </w:r>
      <w:r w:rsidR="00176773" w:rsidRPr="00176773">
        <w:rPr>
          <w:highlight w:val="yellow"/>
        </w:rPr>
        <w:t>(p. 1</w:t>
      </w:r>
      <w:r w:rsidR="00176773" w:rsidRPr="00176773">
        <w:rPr>
          <w:highlight w:val="yellow"/>
        </w:rPr>
        <w:t>9</w:t>
      </w:r>
      <w:r w:rsidR="00176773" w:rsidRPr="00176773">
        <w:rPr>
          <w:highlight w:val="yellow"/>
        </w:rPr>
        <w:t>/35 in AOP Snapshot 212-2021-07-02T02_03)</w:t>
      </w:r>
    </w:p>
    <w:p w14:paraId="347CEFFB" w14:textId="77777777" w:rsidR="00831777" w:rsidRPr="00176773" w:rsidRDefault="00831777" w:rsidP="00831777">
      <w:pPr>
        <w:pStyle w:val="a6"/>
        <w:rPr>
          <w:color w:val="0070C0"/>
        </w:rPr>
      </w:pPr>
    </w:p>
    <w:p w14:paraId="46492A4B" w14:textId="77777777" w:rsidR="00A519E5" w:rsidRDefault="00A519E5" w:rsidP="00A519E5">
      <w:pPr>
        <w:pStyle w:val="a6"/>
        <w:numPr>
          <w:ilvl w:val="0"/>
          <w:numId w:val="4"/>
        </w:numPr>
        <w:rPr>
          <w:lang w:val="en-US"/>
        </w:rPr>
      </w:pPr>
      <w:r w:rsidRPr="00A519E5">
        <w:rPr>
          <w:lang w:val="en-US"/>
        </w:rPr>
        <w:t>The testicular toxicity assessment is important for assessing the side effects of the medicines such as anti-cancer drugs, as well as hazard and risk of chemicals.</w:t>
      </w:r>
    </w:p>
    <w:p w14:paraId="7FE84AEC" w14:textId="7D2F41AF" w:rsidR="00A519E5" w:rsidRDefault="00A519E5" w:rsidP="00A519E5">
      <w:pPr>
        <w:pStyle w:val="a6"/>
        <w:numPr>
          <w:ilvl w:val="0"/>
          <w:numId w:val="5"/>
        </w:numPr>
        <w:rPr>
          <w:color w:val="0070C0"/>
          <w:lang w:val="en-US"/>
        </w:rPr>
      </w:pPr>
      <w:r w:rsidRPr="00A519E5">
        <w:rPr>
          <w:color w:val="0070C0"/>
          <w:lang w:val="en-US"/>
        </w:rPr>
        <w:t>Change testicular toxicity to testicular atrophy</w:t>
      </w:r>
    </w:p>
    <w:p w14:paraId="18F7DF2C" w14:textId="6C6CED4E" w:rsidR="001F7756" w:rsidRPr="00176773" w:rsidRDefault="001F7756" w:rsidP="00A519E5">
      <w:pPr>
        <w:pStyle w:val="a6"/>
        <w:numPr>
          <w:ilvl w:val="0"/>
          <w:numId w:val="5"/>
        </w:numPr>
        <w:rPr>
          <w:color w:val="000000" w:themeColor="text1"/>
          <w:highlight w:val="yellow"/>
        </w:rPr>
      </w:pPr>
      <w:r w:rsidRPr="007D40F3">
        <w:rPr>
          <w:rFonts w:hint="eastAsia"/>
          <w:color w:val="000000" w:themeColor="text1"/>
          <w:highlight w:val="yellow"/>
          <w:lang w:val="en-US"/>
        </w:rPr>
        <w:t>C</w:t>
      </w:r>
      <w:r w:rsidRPr="007D40F3">
        <w:rPr>
          <w:color w:val="000000" w:themeColor="text1"/>
          <w:highlight w:val="yellow"/>
          <w:lang w:val="en-US"/>
        </w:rPr>
        <w:t>hanged.</w:t>
      </w:r>
      <w:r w:rsidR="00176773" w:rsidRPr="00176773">
        <w:rPr>
          <w:highlight w:val="yellow"/>
          <w:lang w:val="en-US"/>
        </w:rPr>
        <w:t xml:space="preserve"> </w:t>
      </w:r>
      <w:r w:rsidR="00176773" w:rsidRPr="00176773">
        <w:rPr>
          <w:highlight w:val="yellow"/>
        </w:rPr>
        <w:t>(p. 1</w:t>
      </w:r>
      <w:r w:rsidR="00176773" w:rsidRPr="00176773">
        <w:rPr>
          <w:highlight w:val="yellow"/>
        </w:rPr>
        <w:t>9</w:t>
      </w:r>
      <w:r w:rsidR="00176773" w:rsidRPr="00176773">
        <w:rPr>
          <w:highlight w:val="yellow"/>
        </w:rPr>
        <w:t>/35 in AOP Snapshot 212-2021-07-02T02_03)</w:t>
      </w:r>
    </w:p>
    <w:p w14:paraId="0D8F2B1C" w14:textId="6F968CB9" w:rsidR="00A519E5" w:rsidRDefault="004E6BD0" w:rsidP="00A519E5">
      <w:pPr>
        <w:pStyle w:val="a6"/>
        <w:numPr>
          <w:ilvl w:val="0"/>
          <w:numId w:val="5"/>
        </w:numPr>
        <w:rPr>
          <w:color w:val="0070C0"/>
          <w:lang w:val="en-US"/>
        </w:rPr>
      </w:pPr>
      <w:r>
        <w:rPr>
          <w:color w:val="0070C0"/>
          <w:lang w:val="en-US"/>
        </w:rPr>
        <w:t>Please specify how the AO is related to chemical risk assessment</w:t>
      </w:r>
    </w:p>
    <w:p w14:paraId="7DA179C2" w14:textId="2BDA1BE1" w:rsidR="007A631F" w:rsidRPr="007A631F" w:rsidRDefault="007A631F" w:rsidP="00A519E5">
      <w:pPr>
        <w:pStyle w:val="a6"/>
        <w:numPr>
          <w:ilvl w:val="0"/>
          <w:numId w:val="5"/>
        </w:numPr>
        <w:rPr>
          <w:color w:val="000000" w:themeColor="text1"/>
          <w:highlight w:val="yellow"/>
          <w:lang w:val="en-US"/>
        </w:rPr>
      </w:pPr>
      <w:r>
        <w:rPr>
          <w:color w:val="000000" w:themeColor="text1"/>
          <w:highlight w:val="yellow"/>
          <w:lang w:val="en-US"/>
        </w:rPr>
        <w:t>A following sentence has been added: “</w:t>
      </w:r>
      <w:r w:rsidRPr="007A631F">
        <w:rPr>
          <w:color w:val="000000" w:themeColor="text1"/>
          <w:highlight w:val="yellow"/>
          <w:lang w:val="en-US"/>
        </w:rPr>
        <w:t>In terms of chemical risk assessment, the AO may be related to the health effects caused by the usage of pesticides or biocides.</w:t>
      </w:r>
      <w:r>
        <w:rPr>
          <w:color w:val="000000" w:themeColor="text1"/>
          <w:highlight w:val="yellow"/>
          <w:lang w:val="en-US"/>
        </w:rPr>
        <w:t>”</w:t>
      </w:r>
      <w:r w:rsidR="00176773" w:rsidRPr="00176773">
        <w:rPr>
          <w:highlight w:val="yellow"/>
          <w:lang w:val="en-US"/>
        </w:rPr>
        <w:t xml:space="preserve"> </w:t>
      </w:r>
      <w:r w:rsidR="00176773">
        <w:rPr>
          <w:highlight w:val="yellow"/>
          <w:lang w:val="en-US"/>
        </w:rPr>
        <w:t>(p. 1</w:t>
      </w:r>
      <w:r w:rsidR="00176773">
        <w:rPr>
          <w:highlight w:val="yellow"/>
          <w:lang w:val="en-US"/>
        </w:rPr>
        <w:t>9</w:t>
      </w:r>
      <w:r w:rsidR="00176773">
        <w:rPr>
          <w:highlight w:val="yellow"/>
          <w:lang w:val="en-US"/>
        </w:rPr>
        <w:t>/35 in AOP Snapshot 212-2021-07-02T02_03)</w:t>
      </w:r>
    </w:p>
    <w:p w14:paraId="48758FE3" w14:textId="77777777" w:rsidR="00754090" w:rsidRDefault="00754090" w:rsidP="00754090">
      <w:pPr>
        <w:rPr>
          <w:color w:val="0070C0"/>
          <w:lang w:val="en-US"/>
        </w:rPr>
      </w:pPr>
    </w:p>
    <w:p w14:paraId="611DD293" w14:textId="77777777" w:rsidR="00754090" w:rsidRPr="00754090" w:rsidRDefault="00754090" w:rsidP="00754090">
      <w:pPr>
        <w:rPr>
          <w:b/>
          <w:lang w:val="en-US"/>
        </w:rPr>
      </w:pPr>
      <w:r w:rsidRPr="00754090">
        <w:rPr>
          <w:b/>
          <w:lang w:val="en-US"/>
        </w:rPr>
        <w:t>p. 29</w:t>
      </w:r>
    </w:p>
    <w:p w14:paraId="50244CCF" w14:textId="59B733B2" w:rsidR="00754090" w:rsidRDefault="00754090" w:rsidP="00A933EB">
      <w:pPr>
        <w:pStyle w:val="a6"/>
        <w:numPr>
          <w:ilvl w:val="0"/>
          <w:numId w:val="7"/>
        </w:numPr>
        <w:rPr>
          <w:color w:val="0070C0"/>
          <w:lang w:val="en-US"/>
        </w:rPr>
      </w:pPr>
      <w:r w:rsidRPr="00A933EB">
        <w:rPr>
          <w:lang w:val="en-US"/>
        </w:rPr>
        <w:t xml:space="preserve">The relationship between HDAC inhibition and hyperacetylation is likely well conserved between species from lower organisms to mammals – </w:t>
      </w:r>
      <w:r w:rsidRPr="00A933EB">
        <w:rPr>
          <w:color w:val="0070C0"/>
          <w:lang w:val="en-US"/>
        </w:rPr>
        <w:t>can examples for lower organisms be added? If not, the statement should be modified</w:t>
      </w:r>
    </w:p>
    <w:p w14:paraId="64471F09" w14:textId="0A979CE3" w:rsidR="00842046" w:rsidRPr="00D17AB8" w:rsidRDefault="00842046" w:rsidP="00842046">
      <w:pPr>
        <w:pStyle w:val="a6"/>
        <w:rPr>
          <w:color w:val="000000" w:themeColor="text1"/>
          <w:lang w:val="en-US"/>
        </w:rPr>
      </w:pPr>
      <w:r w:rsidRPr="00D17AB8">
        <w:rPr>
          <w:color w:val="000000" w:themeColor="text1"/>
          <w:highlight w:val="yellow"/>
          <w:lang w:val="en-US"/>
        </w:rPr>
        <w:sym w:font="Wingdings" w:char="F0E0"/>
      </w:r>
      <w:r w:rsidRPr="00D17AB8">
        <w:rPr>
          <w:color w:val="000000" w:themeColor="text1"/>
          <w:highlight w:val="yellow"/>
          <w:lang w:val="en-US"/>
        </w:rPr>
        <w:t xml:space="preserve"> The statement has been modified as follows</w:t>
      </w:r>
      <w:r w:rsidR="002555CD">
        <w:rPr>
          <w:color w:val="000000" w:themeColor="text1"/>
          <w:highlight w:val="yellow"/>
          <w:lang w:val="en-US"/>
        </w:rPr>
        <w:t xml:space="preserve"> </w:t>
      </w:r>
      <w:r w:rsidR="002555CD">
        <w:rPr>
          <w:highlight w:val="yellow"/>
          <w:lang w:val="en-US"/>
        </w:rPr>
        <w:t xml:space="preserve">(p. </w:t>
      </w:r>
      <w:r w:rsidR="002555CD">
        <w:rPr>
          <w:highlight w:val="yellow"/>
          <w:lang w:val="en-US"/>
        </w:rPr>
        <w:t>20</w:t>
      </w:r>
      <w:r w:rsidR="002555CD">
        <w:rPr>
          <w:highlight w:val="yellow"/>
          <w:lang w:val="en-US"/>
        </w:rPr>
        <w:t>/35 in AOP Snapshot 212-2021-07-02T02_03)</w:t>
      </w:r>
      <w:r w:rsidRPr="00D17AB8">
        <w:rPr>
          <w:color w:val="000000" w:themeColor="text1"/>
          <w:highlight w:val="yellow"/>
          <w:lang w:val="en-US"/>
        </w:rPr>
        <w:t>: “</w:t>
      </w:r>
      <w:r w:rsidR="00D17AB8" w:rsidRPr="00D17AB8">
        <w:rPr>
          <w:color w:val="000000" w:themeColor="text1"/>
          <w:highlight w:val="yellow"/>
          <w:lang w:val="en-US"/>
        </w:rPr>
        <w:t>The relationship between HDAC inhibition and increase in histone acetylation is conceivably well conserved among various species including mammals.”</w:t>
      </w:r>
    </w:p>
    <w:p w14:paraId="1BA38143" w14:textId="7ECAAC34" w:rsidR="00A933EB" w:rsidRPr="00114B61" w:rsidRDefault="00A933EB" w:rsidP="00A933EB">
      <w:pPr>
        <w:pStyle w:val="a6"/>
        <w:numPr>
          <w:ilvl w:val="0"/>
          <w:numId w:val="7"/>
        </w:numPr>
        <w:rPr>
          <w:color w:val="0070C0"/>
          <w:lang w:val="en-US"/>
        </w:rPr>
      </w:pPr>
      <w:r w:rsidRPr="00A933EB">
        <w:rPr>
          <w:lang w:val="en-US"/>
        </w:rPr>
        <w:t>Upon the inhibition of HDAC by HDIs</w:t>
      </w:r>
      <w:r w:rsidRPr="00A933EB">
        <w:rPr>
          <w:b/>
          <w:strike/>
          <w:lang w:val="en-US"/>
        </w:rPr>
        <w:t>, the acetylation of</w:t>
      </w:r>
      <w:r w:rsidRPr="00A933EB">
        <w:rPr>
          <w:lang w:val="en-US"/>
        </w:rPr>
        <w:t xml:space="preserve"> lysine in histone remains </w:t>
      </w:r>
      <w:r w:rsidRPr="00A933EB">
        <w:rPr>
          <w:b/>
          <w:lang w:val="en-US"/>
        </w:rPr>
        <w:t xml:space="preserve">acetylated which </w:t>
      </w:r>
      <w:r w:rsidRPr="00A933EB">
        <w:rPr>
          <w:b/>
          <w:strike/>
          <w:lang w:val="en-US"/>
        </w:rPr>
        <w:t>and it</w:t>
      </w:r>
      <w:r w:rsidRPr="00A933EB">
        <w:rPr>
          <w:lang w:val="en-US"/>
        </w:rPr>
        <w:t xml:space="preserve"> leads to transcriptional activation or repression, changes in DNA replication and DNA damage repair</w:t>
      </w:r>
      <w:r>
        <w:rPr>
          <w:lang w:val="en-US"/>
        </w:rPr>
        <w:t xml:space="preserve">. </w:t>
      </w:r>
      <w:r w:rsidRPr="00D17AB8">
        <w:rPr>
          <w:b/>
          <w:strike/>
          <w:lang w:val="en-US"/>
        </w:rPr>
        <w:t>The treatment by HDIs increased histone acetylation</w:t>
      </w:r>
    </w:p>
    <w:p w14:paraId="403D31E3" w14:textId="16764773" w:rsidR="00114B61" w:rsidRPr="002555CD" w:rsidRDefault="00114B61" w:rsidP="00114B61">
      <w:pPr>
        <w:pStyle w:val="a6"/>
        <w:rPr>
          <w:color w:val="0070C0"/>
        </w:rPr>
      </w:pPr>
      <w:r w:rsidRPr="00114B61">
        <w:rPr>
          <w:highlight w:val="yellow"/>
          <w:lang w:val="en-US"/>
        </w:rPr>
        <w:sym w:font="Wingdings" w:char="F0E0"/>
      </w:r>
      <w:r w:rsidRPr="00114B61">
        <w:rPr>
          <w:highlight w:val="yellow"/>
          <w:lang w:val="en-US"/>
        </w:rPr>
        <w:t xml:space="preserve"> Corrected.</w:t>
      </w:r>
      <w:r w:rsidR="002555CD" w:rsidRPr="002555CD">
        <w:rPr>
          <w:highlight w:val="yellow"/>
          <w:lang w:val="en-US"/>
        </w:rPr>
        <w:t xml:space="preserve"> </w:t>
      </w:r>
      <w:r w:rsidR="002555CD" w:rsidRPr="002555CD">
        <w:rPr>
          <w:highlight w:val="yellow"/>
        </w:rPr>
        <w:t xml:space="preserve">(p. </w:t>
      </w:r>
      <w:r w:rsidR="002555CD" w:rsidRPr="002555CD">
        <w:rPr>
          <w:highlight w:val="yellow"/>
        </w:rPr>
        <w:t>20-21</w:t>
      </w:r>
      <w:r w:rsidR="002555CD" w:rsidRPr="002555CD">
        <w:rPr>
          <w:highlight w:val="yellow"/>
        </w:rPr>
        <w:t>/35 in AOP Snapshot 212-2021-07-02T02_03)</w:t>
      </w:r>
    </w:p>
    <w:p w14:paraId="6AA29591" w14:textId="397E7B7C" w:rsidR="00560ED4" w:rsidRPr="00114B61" w:rsidRDefault="00560ED4" w:rsidP="00A933EB">
      <w:pPr>
        <w:pStyle w:val="a6"/>
        <w:numPr>
          <w:ilvl w:val="0"/>
          <w:numId w:val="7"/>
        </w:numPr>
        <w:rPr>
          <w:color w:val="0070C0"/>
          <w:lang w:val="en-US"/>
        </w:rPr>
      </w:pPr>
      <w:r w:rsidRPr="00560ED4">
        <w:rPr>
          <w:lang w:val="en-US"/>
        </w:rPr>
        <w:t xml:space="preserve">For long time it is known that histones get acetylated and that this reaction is catalyzed by histone acetyl transferases (HAT) </w:t>
      </w:r>
      <w:r w:rsidRPr="00560ED4">
        <w:rPr>
          <w:b/>
          <w:strike/>
          <w:lang w:val="en-US"/>
        </w:rPr>
        <w:t>and</w:t>
      </w:r>
      <w:r w:rsidRPr="00560ED4">
        <w:rPr>
          <w:lang w:val="en-US"/>
        </w:rPr>
        <w:t xml:space="preserve"> </w:t>
      </w:r>
      <w:r>
        <w:rPr>
          <w:b/>
          <w:lang w:val="en-US"/>
        </w:rPr>
        <w:t xml:space="preserve">whereas </w:t>
      </w:r>
      <w:r w:rsidRPr="00560ED4">
        <w:rPr>
          <w:lang w:val="en-US"/>
        </w:rPr>
        <w:t>the acetyl groups are removed by histone deacetylases (HDAC)</w:t>
      </w:r>
    </w:p>
    <w:p w14:paraId="698CE4D3" w14:textId="209BB877" w:rsidR="00114B61" w:rsidRPr="0042034D" w:rsidRDefault="00114B61" w:rsidP="00114B61">
      <w:pPr>
        <w:pStyle w:val="a6"/>
        <w:rPr>
          <w:color w:val="0070C0"/>
        </w:rPr>
      </w:pPr>
      <w:r w:rsidRPr="00114B61">
        <w:rPr>
          <w:highlight w:val="yellow"/>
          <w:lang w:val="en-US"/>
        </w:rPr>
        <w:sym w:font="Wingdings" w:char="F0E0"/>
      </w:r>
      <w:r w:rsidRPr="00114B61">
        <w:rPr>
          <w:highlight w:val="yellow"/>
          <w:lang w:val="en-US"/>
        </w:rPr>
        <w:t xml:space="preserve"> Corrected.</w:t>
      </w:r>
      <w:r w:rsidR="002555CD" w:rsidRPr="002555CD">
        <w:rPr>
          <w:highlight w:val="yellow"/>
          <w:lang w:val="en-US"/>
        </w:rPr>
        <w:t xml:space="preserve"> </w:t>
      </w:r>
      <w:r w:rsidR="002555CD" w:rsidRPr="0042034D">
        <w:rPr>
          <w:highlight w:val="yellow"/>
        </w:rPr>
        <w:t xml:space="preserve">(p. </w:t>
      </w:r>
      <w:r w:rsidR="002555CD" w:rsidRPr="0042034D">
        <w:rPr>
          <w:highlight w:val="yellow"/>
        </w:rPr>
        <w:t>21</w:t>
      </w:r>
      <w:r w:rsidR="002555CD" w:rsidRPr="0042034D">
        <w:rPr>
          <w:highlight w:val="yellow"/>
        </w:rPr>
        <w:t>/35 in AOP Snapshot 212-2021-07-02T02_03)</w:t>
      </w:r>
    </w:p>
    <w:p w14:paraId="44541A97" w14:textId="77777777" w:rsidR="00114B61" w:rsidRPr="0042034D" w:rsidRDefault="00114B61" w:rsidP="00114B61">
      <w:pPr>
        <w:ind w:left="360"/>
        <w:rPr>
          <w:color w:val="0070C0"/>
        </w:rPr>
      </w:pPr>
    </w:p>
    <w:p w14:paraId="7A50DEA6" w14:textId="77777777" w:rsidR="002F367A" w:rsidRPr="0042034D" w:rsidRDefault="002F367A" w:rsidP="002F367A">
      <w:pPr>
        <w:rPr>
          <w:color w:val="0070C0"/>
        </w:rPr>
      </w:pPr>
    </w:p>
    <w:p w14:paraId="0B7A73A1" w14:textId="77777777" w:rsidR="002F367A" w:rsidRPr="002F367A" w:rsidRDefault="002F367A" w:rsidP="002F367A">
      <w:pPr>
        <w:rPr>
          <w:b/>
          <w:lang w:val="en-US"/>
        </w:rPr>
      </w:pPr>
      <w:r w:rsidRPr="002F367A">
        <w:rPr>
          <w:b/>
          <w:lang w:val="en-US"/>
        </w:rPr>
        <w:t>p. 30</w:t>
      </w:r>
    </w:p>
    <w:p w14:paraId="73B29B90" w14:textId="508284C4" w:rsidR="002F367A" w:rsidRDefault="002F367A" w:rsidP="00C73984">
      <w:pPr>
        <w:pStyle w:val="a6"/>
        <w:numPr>
          <w:ilvl w:val="0"/>
          <w:numId w:val="8"/>
        </w:numPr>
        <w:rPr>
          <w:b/>
          <w:lang w:val="en-US"/>
        </w:rPr>
      </w:pPr>
      <w:r w:rsidRPr="00C73984">
        <w:rPr>
          <w:b/>
          <w:strike/>
          <w:lang w:val="en-US"/>
        </w:rPr>
        <w:t>The HDI selectivity exists, in which</w:t>
      </w:r>
      <w:r w:rsidRPr="00C73984">
        <w:rPr>
          <w:lang w:val="en-US"/>
        </w:rPr>
        <w:t xml:space="preserve"> </w:t>
      </w:r>
      <w:proofErr w:type="spellStart"/>
      <w:r w:rsidRPr="00C73984">
        <w:rPr>
          <w:b/>
          <w:strike/>
          <w:lang w:val="en-US"/>
        </w:rPr>
        <w:t>m</w:t>
      </w:r>
      <w:r w:rsidRPr="00C73984">
        <w:rPr>
          <w:b/>
          <w:lang w:val="en-US"/>
        </w:rPr>
        <w:t>More</w:t>
      </w:r>
      <w:proofErr w:type="spellEnd"/>
      <w:r w:rsidRPr="00C73984">
        <w:rPr>
          <w:lang w:val="en-US"/>
        </w:rPr>
        <w:t xml:space="preserve"> acetylation sites on the histones H3 and H4 are responsive to SAHA than </w:t>
      </w:r>
      <w:r w:rsidRPr="00C73984">
        <w:rPr>
          <w:b/>
          <w:lang w:val="en-US"/>
        </w:rPr>
        <w:t xml:space="preserve">to </w:t>
      </w:r>
      <w:r w:rsidRPr="00C73984">
        <w:rPr>
          <w:lang w:val="en-US"/>
        </w:rPr>
        <w:t xml:space="preserve">MS-275 </w:t>
      </w:r>
      <w:r w:rsidRPr="00C73984">
        <w:rPr>
          <w:b/>
          <w:lang w:val="en-US"/>
        </w:rPr>
        <w:t>indicating that an HDI selectivity exists</w:t>
      </w:r>
    </w:p>
    <w:p w14:paraId="3A2C34AF" w14:textId="74745288" w:rsidR="00290276" w:rsidRPr="0042034D" w:rsidRDefault="00290276" w:rsidP="00686A56">
      <w:pPr>
        <w:pStyle w:val="a6"/>
        <w:rPr>
          <w:color w:val="000000" w:themeColor="text1"/>
        </w:rPr>
      </w:pPr>
      <w:r w:rsidRPr="00290276">
        <w:rPr>
          <w:color w:val="000000" w:themeColor="text1"/>
          <w:highlight w:val="yellow"/>
          <w:lang w:val="en-US"/>
        </w:rPr>
        <w:sym w:font="Wingdings" w:char="F0E0"/>
      </w:r>
      <w:r w:rsidRPr="00290276">
        <w:rPr>
          <w:color w:val="000000" w:themeColor="text1"/>
          <w:highlight w:val="yellow"/>
          <w:lang w:val="en-US"/>
        </w:rPr>
        <w:t xml:space="preserve"> Corrected.</w:t>
      </w:r>
      <w:r w:rsidR="0042034D" w:rsidRPr="0042034D">
        <w:rPr>
          <w:highlight w:val="yellow"/>
          <w:lang w:val="en-US"/>
        </w:rPr>
        <w:t xml:space="preserve"> </w:t>
      </w:r>
      <w:r w:rsidR="0042034D" w:rsidRPr="0042034D">
        <w:rPr>
          <w:highlight w:val="yellow"/>
        </w:rPr>
        <w:t xml:space="preserve">(p. </w:t>
      </w:r>
      <w:r w:rsidR="0042034D" w:rsidRPr="0042034D">
        <w:rPr>
          <w:highlight w:val="yellow"/>
        </w:rPr>
        <w:t>21</w:t>
      </w:r>
      <w:r w:rsidR="0042034D" w:rsidRPr="0042034D">
        <w:rPr>
          <w:highlight w:val="yellow"/>
        </w:rPr>
        <w:t>/35 in AOP Snapshot 212-2021-07-02T02_03)</w:t>
      </w:r>
    </w:p>
    <w:p w14:paraId="2606C65F" w14:textId="0D0D6F77" w:rsidR="00C73984" w:rsidRPr="00290276" w:rsidRDefault="00C73984" w:rsidP="00C73984">
      <w:pPr>
        <w:pStyle w:val="a6"/>
        <w:numPr>
          <w:ilvl w:val="0"/>
          <w:numId w:val="8"/>
        </w:numPr>
        <w:rPr>
          <w:b/>
          <w:color w:val="000000" w:themeColor="text1"/>
          <w:lang w:val="en-US"/>
        </w:rPr>
      </w:pPr>
      <w:r w:rsidRPr="00290276">
        <w:rPr>
          <w:color w:val="000000" w:themeColor="text1"/>
          <w:lang w:val="en-US"/>
        </w:rPr>
        <w:t xml:space="preserve">HDAC inhibition by HDIs hyperacetylates cellular proteins other than histones and exhibit </w:t>
      </w:r>
      <w:r w:rsidRPr="00290276">
        <w:rPr>
          <w:b/>
          <w:color w:val="000000" w:themeColor="text1"/>
          <w:lang w:val="en-US"/>
        </w:rPr>
        <w:t xml:space="preserve">additional </w:t>
      </w:r>
      <w:r w:rsidRPr="00290276">
        <w:rPr>
          <w:color w:val="000000" w:themeColor="text1"/>
          <w:lang w:val="en-US"/>
        </w:rPr>
        <w:t>biological effects</w:t>
      </w:r>
    </w:p>
    <w:p w14:paraId="5779EB97" w14:textId="5B4A1F32" w:rsidR="00290276" w:rsidRPr="0042034D" w:rsidRDefault="00290276" w:rsidP="00686A56">
      <w:pPr>
        <w:pStyle w:val="a6"/>
        <w:rPr>
          <w:color w:val="000000" w:themeColor="text1"/>
        </w:rPr>
      </w:pPr>
      <w:r w:rsidRPr="00290276">
        <w:rPr>
          <w:color w:val="000000" w:themeColor="text1"/>
          <w:highlight w:val="yellow"/>
          <w:lang w:val="en-US"/>
        </w:rPr>
        <w:sym w:font="Wingdings" w:char="F0E0"/>
      </w:r>
      <w:r w:rsidRPr="00290276">
        <w:rPr>
          <w:color w:val="000000" w:themeColor="text1"/>
          <w:highlight w:val="yellow"/>
          <w:lang w:val="en-US"/>
        </w:rPr>
        <w:t xml:space="preserve"> Corrected.</w:t>
      </w:r>
      <w:r w:rsidR="0042034D" w:rsidRPr="0042034D">
        <w:rPr>
          <w:highlight w:val="yellow"/>
          <w:lang w:val="en-US"/>
        </w:rPr>
        <w:t xml:space="preserve"> </w:t>
      </w:r>
      <w:r w:rsidR="0042034D" w:rsidRPr="0042034D">
        <w:rPr>
          <w:highlight w:val="yellow"/>
        </w:rPr>
        <w:t xml:space="preserve">(p. </w:t>
      </w:r>
      <w:r w:rsidR="0042034D" w:rsidRPr="0042034D">
        <w:rPr>
          <w:highlight w:val="yellow"/>
        </w:rPr>
        <w:t>21</w:t>
      </w:r>
      <w:r w:rsidR="0042034D" w:rsidRPr="0042034D">
        <w:rPr>
          <w:highlight w:val="yellow"/>
        </w:rPr>
        <w:t>/35 in AOP Snapshot 212-2021-07-02T02_03)</w:t>
      </w:r>
    </w:p>
    <w:p w14:paraId="6CF4E315" w14:textId="78C9D788" w:rsidR="00C73984" w:rsidRPr="00290276" w:rsidRDefault="00C73984" w:rsidP="00C73984">
      <w:pPr>
        <w:pStyle w:val="a6"/>
        <w:numPr>
          <w:ilvl w:val="0"/>
          <w:numId w:val="8"/>
        </w:numPr>
        <w:rPr>
          <w:b/>
          <w:color w:val="000000" w:themeColor="text1"/>
          <w:lang w:val="en-US"/>
        </w:rPr>
      </w:pPr>
      <w:r w:rsidRPr="00290276">
        <w:rPr>
          <w:color w:val="000000" w:themeColor="text1"/>
          <w:lang w:val="en-US"/>
        </w:rPr>
        <w:t xml:space="preserve">SAHA </w:t>
      </w:r>
      <w:r w:rsidRPr="00290276">
        <w:rPr>
          <w:b/>
          <w:strike/>
          <w:color w:val="000000" w:themeColor="text1"/>
          <w:lang w:val="en-US"/>
        </w:rPr>
        <w:t>and</w:t>
      </w:r>
      <w:r w:rsidRPr="00290276">
        <w:rPr>
          <w:color w:val="000000" w:themeColor="text1"/>
          <w:lang w:val="en-US"/>
        </w:rPr>
        <w:t xml:space="preserve"> </w:t>
      </w:r>
      <w:r w:rsidRPr="00290276">
        <w:rPr>
          <w:b/>
          <w:color w:val="000000" w:themeColor="text1"/>
          <w:lang w:val="en-US"/>
        </w:rPr>
        <w:t xml:space="preserve">or </w:t>
      </w:r>
      <w:r w:rsidRPr="00290276">
        <w:rPr>
          <w:color w:val="000000" w:themeColor="text1"/>
          <w:lang w:val="en-US"/>
        </w:rPr>
        <w:t xml:space="preserve">MS-275 treatment leads to </w:t>
      </w:r>
      <w:r w:rsidRPr="00290276">
        <w:rPr>
          <w:b/>
          <w:color w:val="000000" w:themeColor="text1"/>
          <w:lang w:val="en-US"/>
        </w:rPr>
        <w:t xml:space="preserve">an </w:t>
      </w:r>
      <w:r w:rsidRPr="00290276">
        <w:rPr>
          <w:color w:val="000000" w:themeColor="text1"/>
          <w:lang w:val="en-US"/>
        </w:rPr>
        <w:t>increase in acetylation</w:t>
      </w:r>
    </w:p>
    <w:p w14:paraId="725E6DEB" w14:textId="6338AC7F" w:rsidR="00290276" w:rsidRPr="00DB678A" w:rsidRDefault="00290276" w:rsidP="00686A56">
      <w:pPr>
        <w:pStyle w:val="a6"/>
        <w:rPr>
          <w:color w:val="000000" w:themeColor="text1"/>
        </w:rPr>
      </w:pPr>
      <w:r w:rsidRPr="00290276">
        <w:rPr>
          <w:color w:val="000000" w:themeColor="text1"/>
          <w:highlight w:val="yellow"/>
          <w:lang w:val="en-US"/>
        </w:rPr>
        <w:sym w:font="Wingdings" w:char="F0E0"/>
      </w:r>
      <w:r w:rsidRPr="00290276">
        <w:rPr>
          <w:color w:val="000000" w:themeColor="text1"/>
          <w:highlight w:val="yellow"/>
          <w:lang w:val="en-US"/>
        </w:rPr>
        <w:t xml:space="preserve"> Corrected.</w:t>
      </w:r>
      <w:r w:rsidR="0042034D" w:rsidRPr="0042034D">
        <w:rPr>
          <w:highlight w:val="yellow"/>
          <w:lang w:val="en-US"/>
        </w:rPr>
        <w:t xml:space="preserve"> </w:t>
      </w:r>
      <w:r w:rsidR="0042034D" w:rsidRPr="00DB678A">
        <w:rPr>
          <w:highlight w:val="yellow"/>
        </w:rPr>
        <w:t xml:space="preserve">(p. </w:t>
      </w:r>
      <w:r w:rsidR="0042034D" w:rsidRPr="00DB678A">
        <w:rPr>
          <w:highlight w:val="yellow"/>
        </w:rPr>
        <w:t>21</w:t>
      </w:r>
      <w:r w:rsidR="0042034D" w:rsidRPr="00DB678A">
        <w:rPr>
          <w:highlight w:val="yellow"/>
        </w:rPr>
        <w:t>/35 in AOP Snapshot 212-2021-07-02T02_03)</w:t>
      </w:r>
    </w:p>
    <w:p w14:paraId="09B87BCB" w14:textId="77777777" w:rsidR="00754090" w:rsidRPr="00DB678A" w:rsidRDefault="00754090" w:rsidP="00754090">
      <w:pPr>
        <w:rPr>
          <w:color w:val="0070C0"/>
        </w:rPr>
      </w:pPr>
    </w:p>
    <w:p w14:paraId="0571C23D" w14:textId="77777777" w:rsidR="008B3134" w:rsidRPr="008B3134" w:rsidRDefault="008B3134" w:rsidP="00754090">
      <w:pPr>
        <w:rPr>
          <w:b/>
          <w:lang w:val="en-US"/>
        </w:rPr>
      </w:pPr>
      <w:r w:rsidRPr="008B3134">
        <w:rPr>
          <w:b/>
          <w:lang w:val="en-US"/>
        </w:rPr>
        <w:t>p. 32</w:t>
      </w:r>
    </w:p>
    <w:p w14:paraId="78354711" w14:textId="77777777" w:rsidR="008B3134" w:rsidRPr="008B3134" w:rsidRDefault="008B3134" w:rsidP="00754090">
      <w:pPr>
        <w:rPr>
          <w:lang w:val="en-US"/>
        </w:rPr>
      </w:pPr>
      <w:r w:rsidRPr="008B3134">
        <w:rPr>
          <w:lang w:val="en-US"/>
        </w:rPr>
        <w:t>The relationship between increased histone acetylation and p21 expression increase is likely well conserved between species.</w:t>
      </w:r>
    </w:p>
    <w:p w14:paraId="2EF45E1F" w14:textId="77777777" w:rsidR="008B3134" w:rsidRDefault="008B3134" w:rsidP="008B3134">
      <w:pPr>
        <w:pStyle w:val="a6"/>
        <w:numPr>
          <w:ilvl w:val="0"/>
          <w:numId w:val="5"/>
        </w:numPr>
        <w:rPr>
          <w:color w:val="0070C0"/>
          <w:lang w:val="en-US"/>
        </w:rPr>
      </w:pPr>
      <w:r w:rsidRPr="008B3134">
        <w:rPr>
          <w:color w:val="0070C0"/>
          <w:lang w:val="en-US"/>
        </w:rPr>
        <w:t>It should be indicated here that the present KER focuses on p21 pathway leading to apoptosis</w:t>
      </w:r>
    </w:p>
    <w:p w14:paraId="6FCBAA58" w14:textId="77777777" w:rsidR="00FA76E1" w:rsidRDefault="00FA76E1" w:rsidP="008B3134">
      <w:pPr>
        <w:pStyle w:val="a6"/>
        <w:numPr>
          <w:ilvl w:val="0"/>
          <w:numId w:val="5"/>
        </w:numPr>
        <w:rPr>
          <w:color w:val="0070C0"/>
          <w:lang w:val="en-US"/>
        </w:rPr>
      </w:pPr>
      <w:r>
        <w:rPr>
          <w:color w:val="0070C0"/>
          <w:lang w:val="en-US"/>
        </w:rPr>
        <w:t>Please add that p21 is a cell-cycle regulator</w:t>
      </w:r>
    </w:p>
    <w:p w14:paraId="7352DF10" w14:textId="4B562348" w:rsidR="008B3134" w:rsidRDefault="008B3134" w:rsidP="008B3134">
      <w:pPr>
        <w:pStyle w:val="a6"/>
        <w:numPr>
          <w:ilvl w:val="0"/>
          <w:numId w:val="5"/>
        </w:numPr>
        <w:rPr>
          <w:color w:val="0070C0"/>
          <w:lang w:val="en-US"/>
        </w:rPr>
      </w:pPr>
      <w:r>
        <w:rPr>
          <w:color w:val="0070C0"/>
          <w:lang w:val="en-US"/>
        </w:rPr>
        <w:t xml:space="preserve">Examples are only given for </w:t>
      </w:r>
      <w:r w:rsidR="00A223B7">
        <w:rPr>
          <w:color w:val="0070C0"/>
          <w:lang w:val="en-US"/>
        </w:rPr>
        <w:t>mammals</w:t>
      </w:r>
      <w:r>
        <w:rPr>
          <w:color w:val="0070C0"/>
          <w:lang w:val="en-US"/>
        </w:rPr>
        <w:t xml:space="preserve"> which should be indicated here as well</w:t>
      </w:r>
      <w:r w:rsidR="00E069E4">
        <w:rPr>
          <w:color w:val="0070C0"/>
          <w:lang w:val="en-US"/>
        </w:rPr>
        <w:t xml:space="preserve"> (also the statement</w:t>
      </w:r>
      <w:r w:rsidR="008D45A6">
        <w:rPr>
          <w:color w:val="0070C0"/>
          <w:lang w:val="en-US"/>
        </w:rPr>
        <w:t>s</w:t>
      </w:r>
      <w:r w:rsidR="00E069E4">
        <w:rPr>
          <w:color w:val="0070C0"/>
          <w:lang w:val="en-US"/>
        </w:rPr>
        <w:t xml:space="preserve"> on p. 39 </w:t>
      </w:r>
      <w:r w:rsidR="008D45A6">
        <w:rPr>
          <w:color w:val="0070C0"/>
          <w:lang w:val="en-US"/>
        </w:rPr>
        <w:t xml:space="preserve">and 41 </w:t>
      </w:r>
      <w:r w:rsidR="00E069E4">
        <w:rPr>
          <w:color w:val="0070C0"/>
          <w:lang w:val="en-US"/>
        </w:rPr>
        <w:t>should be changed)</w:t>
      </w:r>
    </w:p>
    <w:p w14:paraId="42946E54" w14:textId="788BCD6C" w:rsidR="00AE6FD0" w:rsidRPr="00AE6FD0" w:rsidRDefault="00AE6FD0" w:rsidP="008B3134">
      <w:pPr>
        <w:pStyle w:val="a6"/>
        <w:numPr>
          <w:ilvl w:val="0"/>
          <w:numId w:val="5"/>
        </w:numPr>
        <w:rPr>
          <w:color w:val="000000" w:themeColor="text1"/>
          <w:highlight w:val="yellow"/>
          <w:lang w:val="en-US"/>
        </w:rPr>
      </w:pPr>
      <w:r>
        <w:rPr>
          <w:color w:val="000000" w:themeColor="text1"/>
          <w:highlight w:val="yellow"/>
          <w:lang w:val="en-US"/>
        </w:rPr>
        <w:t>The statements have been revised as follows: “</w:t>
      </w:r>
      <w:r w:rsidRPr="00AE6FD0">
        <w:rPr>
          <w:color w:val="000000" w:themeColor="text1"/>
          <w:highlight w:val="yellow"/>
          <w:lang w:val="en-US"/>
        </w:rPr>
        <w:t>The relationship between increased histone acetylation and cell cycle disruption is likely well conserved between species. The present KER focuses on the pathway of p21, a cell-cycle regulator, leading to apoptosis. The examples are only given for mammals:</w:t>
      </w:r>
      <w:r>
        <w:rPr>
          <w:color w:val="000000" w:themeColor="text1"/>
          <w:highlight w:val="yellow"/>
          <w:lang w:val="en-US"/>
        </w:rPr>
        <w:t>”</w:t>
      </w:r>
      <w:r w:rsidR="00DB678A" w:rsidRPr="00DB678A">
        <w:rPr>
          <w:highlight w:val="yellow"/>
          <w:lang w:val="en-US"/>
        </w:rPr>
        <w:t xml:space="preserve"> </w:t>
      </w:r>
      <w:r w:rsidR="00DB678A">
        <w:rPr>
          <w:highlight w:val="yellow"/>
          <w:lang w:val="en-US"/>
        </w:rPr>
        <w:t xml:space="preserve">(p. </w:t>
      </w:r>
      <w:r w:rsidR="00DB678A">
        <w:rPr>
          <w:highlight w:val="yellow"/>
          <w:lang w:val="en-US"/>
        </w:rPr>
        <w:t>23</w:t>
      </w:r>
      <w:r w:rsidR="00DB678A">
        <w:rPr>
          <w:highlight w:val="yellow"/>
          <w:lang w:val="en-US"/>
        </w:rPr>
        <w:t>/35 in AOP Snapshot 212-2021-07-02T02_03)</w:t>
      </w:r>
    </w:p>
    <w:p w14:paraId="4D4454A2" w14:textId="48B529C1" w:rsidR="001477B2" w:rsidRDefault="001477B2" w:rsidP="00754090">
      <w:pPr>
        <w:rPr>
          <w:color w:val="0070C0"/>
          <w:lang w:val="en-US"/>
        </w:rPr>
      </w:pPr>
    </w:p>
    <w:p w14:paraId="690FB48A" w14:textId="77777777" w:rsidR="00B0278F" w:rsidRDefault="00B0278F" w:rsidP="00754090">
      <w:pPr>
        <w:rPr>
          <w:color w:val="0070C0"/>
          <w:lang w:val="en-US"/>
        </w:rPr>
      </w:pPr>
    </w:p>
    <w:p w14:paraId="516FB360" w14:textId="77777777" w:rsidR="008B3134" w:rsidRPr="001477B2" w:rsidRDefault="001477B2" w:rsidP="00754090">
      <w:pPr>
        <w:rPr>
          <w:b/>
          <w:lang w:val="en-US"/>
        </w:rPr>
      </w:pPr>
      <w:r w:rsidRPr="001477B2">
        <w:rPr>
          <w:b/>
          <w:lang w:val="en-US"/>
        </w:rPr>
        <w:lastRenderedPageBreak/>
        <w:t>p. 33</w:t>
      </w:r>
    </w:p>
    <w:p w14:paraId="454152A0" w14:textId="705F435C" w:rsidR="001477B2" w:rsidRDefault="001477B2" w:rsidP="00B8057D">
      <w:pPr>
        <w:pStyle w:val="a6"/>
        <w:numPr>
          <w:ilvl w:val="0"/>
          <w:numId w:val="9"/>
        </w:numPr>
        <w:rPr>
          <w:color w:val="0070C0"/>
          <w:lang w:val="en-US"/>
        </w:rPr>
      </w:pPr>
      <w:r w:rsidRPr="00B8057D">
        <w:rPr>
          <w:lang w:val="en-US"/>
        </w:rPr>
        <w:t xml:space="preserve">Acetylation of the promoter region of the coding genes have a close correlation – </w:t>
      </w:r>
      <w:r w:rsidRPr="00B8057D">
        <w:rPr>
          <w:color w:val="0070C0"/>
          <w:lang w:val="en-US"/>
        </w:rPr>
        <w:t>it is unclear what is meant here</w:t>
      </w:r>
    </w:p>
    <w:p w14:paraId="11A81C0F" w14:textId="6A700078" w:rsidR="000B159A" w:rsidRPr="000B159A" w:rsidRDefault="000B159A" w:rsidP="000B159A">
      <w:pPr>
        <w:pStyle w:val="a6"/>
        <w:rPr>
          <w:color w:val="000000" w:themeColor="text1"/>
          <w:lang w:val="en-US"/>
        </w:rPr>
      </w:pPr>
      <w:r w:rsidRPr="000B159A">
        <w:rPr>
          <w:color w:val="000000" w:themeColor="text1"/>
          <w:highlight w:val="yellow"/>
          <w:lang w:val="en-US"/>
        </w:rPr>
        <w:sym w:font="Wingdings" w:char="F0E0"/>
      </w:r>
      <w:r w:rsidRPr="000B159A">
        <w:rPr>
          <w:color w:val="000000" w:themeColor="text1"/>
          <w:highlight w:val="yellow"/>
          <w:lang w:val="en-US"/>
        </w:rPr>
        <w:t xml:space="preserve"> It has been revised as follows: “Upon histone acetylation increase, cell cycle regulation is disrupted, where acetylation in the promoter region of the coding genes has a close correlation.”</w:t>
      </w:r>
      <w:r w:rsidR="0042613F" w:rsidRPr="0042613F">
        <w:rPr>
          <w:highlight w:val="yellow"/>
          <w:lang w:val="en-US"/>
        </w:rPr>
        <w:t xml:space="preserve"> </w:t>
      </w:r>
      <w:r w:rsidR="0042613F">
        <w:rPr>
          <w:highlight w:val="yellow"/>
          <w:lang w:val="en-US"/>
        </w:rPr>
        <w:t xml:space="preserve">(p. </w:t>
      </w:r>
      <w:r w:rsidR="0042613F">
        <w:rPr>
          <w:highlight w:val="yellow"/>
          <w:lang w:val="en-US"/>
        </w:rPr>
        <w:t>23</w:t>
      </w:r>
      <w:r w:rsidR="0042613F">
        <w:rPr>
          <w:highlight w:val="yellow"/>
          <w:lang w:val="en-US"/>
        </w:rPr>
        <w:t>/35 in AOP Snapshot 212-2021-07-02T02_03)</w:t>
      </w:r>
    </w:p>
    <w:p w14:paraId="760B9B6A" w14:textId="7DF4DB29" w:rsidR="00B8057D" w:rsidRDefault="00B8057D" w:rsidP="00B8057D">
      <w:pPr>
        <w:pStyle w:val="a6"/>
        <w:numPr>
          <w:ilvl w:val="0"/>
          <w:numId w:val="9"/>
        </w:numPr>
        <w:rPr>
          <w:color w:val="0070C0"/>
          <w:lang w:val="en-US"/>
        </w:rPr>
      </w:pPr>
      <w:r w:rsidRPr="00B8057D">
        <w:rPr>
          <w:lang w:val="en-US"/>
        </w:rPr>
        <w:t xml:space="preserve">activation of down-stream molecules involving cell cycle regulation – </w:t>
      </w:r>
      <w:r w:rsidRPr="00B8057D">
        <w:rPr>
          <w:color w:val="0070C0"/>
          <w:lang w:val="en-US"/>
        </w:rPr>
        <w:t>are enzymes meant here</w:t>
      </w:r>
      <w:r w:rsidR="005E428B">
        <w:rPr>
          <w:color w:val="0070C0"/>
          <w:lang w:val="en-US"/>
        </w:rPr>
        <w:t xml:space="preserve"> (or gene expression)</w:t>
      </w:r>
      <w:r w:rsidRPr="00B8057D">
        <w:rPr>
          <w:color w:val="0070C0"/>
          <w:lang w:val="en-US"/>
        </w:rPr>
        <w:t xml:space="preserve">? Please </w:t>
      </w:r>
      <w:r w:rsidR="005E428B">
        <w:rPr>
          <w:color w:val="0070C0"/>
          <w:lang w:val="en-US"/>
        </w:rPr>
        <w:t xml:space="preserve">specify and </w:t>
      </w:r>
      <w:r w:rsidRPr="00B8057D">
        <w:rPr>
          <w:color w:val="0070C0"/>
          <w:lang w:val="en-US"/>
        </w:rPr>
        <w:t>give examples</w:t>
      </w:r>
    </w:p>
    <w:p w14:paraId="76347FBC" w14:textId="4CE5D4CF" w:rsidR="007B033E" w:rsidRPr="00E37966" w:rsidRDefault="000B159A" w:rsidP="00E37966">
      <w:pPr>
        <w:pStyle w:val="a6"/>
        <w:rPr>
          <w:color w:val="000000" w:themeColor="text1"/>
          <w:lang w:val="en-US"/>
        </w:rPr>
      </w:pPr>
      <w:r w:rsidRPr="00E54DFA">
        <w:rPr>
          <w:color w:val="000000" w:themeColor="text1"/>
          <w:highlight w:val="yellow"/>
          <w:lang w:val="en-US"/>
        </w:rPr>
        <w:sym w:font="Wingdings" w:char="F0E0"/>
      </w:r>
      <w:r w:rsidRPr="00E54DFA">
        <w:rPr>
          <w:color w:val="000000" w:themeColor="text1"/>
          <w:highlight w:val="yellow"/>
          <w:lang w:val="en-US"/>
        </w:rPr>
        <w:t xml:space="preserve"> </w:t>
      </w:r>
      <w:r w:rsidR="00E54DFA" w:rsidRPr="00E54DFA">
        <w:rPr>
          <w:color w:val="000000" w:themeColor="text1"/>
          <w:highlight w:val="yellow"/>
          <w:lang w:val="en-US"/>
        </w:rPr>
        <w:t>It has been revised as follows: “</w:t>
      </w:r>
      <w:r w:rsidRPr="00E54DFA">
        <w:rPr>
          <w:color w:val="000000" w:themeColor="text1"/>
          <w:highlight w:val="yellow"/>
          <w:lang w:val="en-US"/>
        </w:rPr>
        <w:t>Transient histone hyperacetylation was sufficient for the activation of molecules involving cell cycle regulation such as inducing p21 gene expression</w:t>
      </w:r>
      <w:r w:rsidR="00E54DFA" w:rsidRPr="00E54DFA">
        <w:rPr>
          <w:color w:val="000000" w:themeColor="text1"/>
          <w:highlight w:val="yellow"/>
          <w:lang w:val="en-US"/>
        </w:rPr>
        <w:t>.”</w:t>
      </w:r>
      <w:r w:rsidR="0042613F" w:rsidRPr="0042613F">
        <w:rPr>
          <w:highlight w:val="yellow"/>
          <w:lang w:val="en-US"/>
        </w:rPr>
        <w:t xml:space="preserve"> </w:t>
      </w:r>
      <w:r w:rsidR="0042613F">
        <w:rPr>
          <w:highlight w:val="yellow"/>
          <w:lang w:val="en-US"/>
        </w:rPr>
        <w:t xml:space="preserve">(p. </w:t>
      </w:r>
      <w:r w:rsidR="0042613F">
        <w:rPr>
          <w:highlight w:val="yellow"/>
          <w:lang w:val="en-US"/>
        </w:rPr>
        <w:t>23</w:t>
      </w:r>
      <w:r w:rsidR="0042613F">
        <w:rPr>
          <w:highlight w:val="yellow"/>
          <w:lang w:val="en-US"/>
        </w:rPr>
        <w:t>/35 in AOP Snapshot 212-2021-07-02T02_03)</w:t>
      </w:r>
    </w:p>
    <w:p w14:paraId="674A16A9" w14:textId="77777777" w:rsidR="007B033E" w:rsidRDefault="007B033E" w:rsidP="00683423">
      <w:pPr>
        <w:rPr>
          <w:b/>
          <w:lang w:val="en-US"/>
        </w:rPr>
      </w:pPr>
    </w:p>
    <w:p w14:paraId="2181DE87" w14:textId="57154D7A" w:rsidR="00683423" w:rsidRPr="00683423" w:rsidRDefault="00683423" w:rsidP="00683423">
      <w:pPr>
        <w:rPr>
          <w:b/>
          <w:lang w:val="en-US"/>
        </w:rPr>
      </w:pPr>
      <w:r w:rsidRPr="00683423">
        <w:rPr>
          <w:b/>
          <w:lang w:val="en-US"/>
        </w:rPr>
        <w:t>p. 35</w:t>
      </w:r>
    </w:p>
    <w:p w14:paraId="0E42A289" w14:textId="2CB982D1" w:rsidR="00683423" w:rsidRPr="003A46CE" w:rsidRDefault="00683423" w:rsidP="000F32F8">
      <w:pPr>
        <w:pStyle w:val="a6"/>
        <w:numPr>
          <w:ilvl w:val="0"/>
          <w:numId w:val="10"/>
        </w:numPr>
        <w:rPr>
          <w:lang w:val="en-US"/>
        </w:rPr>
      </w:pPr>
      <w:r w:rsidRPr="000F32F8">
        <w:rPr>
          <w:lang w:val="en-US"/>
        </w:rPr>
        <w:t xml:space="preserve">The relationship between disrupted cell cycle and apoptosis is likely well conserved between species – </w:t>
      </w:r>
      <w:r w:rsidRPr="000F32F8">
        <w:rPr>
          <w:color w:val="0070C0"/>
          <w:lang w:val="en-US"/>
        </w:rPr>
        <w:t>only examples from human and mouse are given</w:t>
      </w:r>
    </w:p>
    <w:p w14:paraId="63DC6503" w14:textId="3CD2BB22" w:rsidR="003A46CE" w:rsidRPr="000F32F8" w:rsidRDefault="003A46CE" w:rsidP="003A46CE">
      <w:pPr>
        <w:pStyle w:val="a6"/>
        <w:rPr>
          <w:lang w:val="en-US"/>
        </w:rPr>
      </w:pPr>
      <w:r w:rsidRPr="003A46CE">
        <w:rPr>
          <w:color w:val="000000" w:themeColor="text1"/>
          <w:highlight w:val="yellow"/>
          <w:lang w:val="en-US"/>
        </w:rPr>
        <w:sym w:font="Wingdings" w:char="F0E0"/>
      </w:r>
      <w:r>
        <w:rPr>
          <w:color w:val="000000" w:themeColor="text1"/>
          <w:highlight w:val="yellow"/>
          <w:lang w:val="en-US"/>
        </w:rPr>
        <w:t xml:space="preserve"> The sentence has been added</w:t>
      </w:r>
      <w:r w:rsidR="00B0278F">
        <w:rPr>
          <w:color w:val="000000" w:themeColor="text1"/>
          <w:highlight w:val="yellow"/>
          <w:lang w:val="en-US"/>
        </w:rPr>
        <w:t xml:space="preserve"> </w:t>
      </w:r>
      <w:r w:rsidR="00B0278F">
        <w:rPr>
          <w:highlight w:val="yellow"/>
          <w:lang w:val="en-US"/>
        </w:rPr>
        <w:t xml:space="preserve">(p. </w:t>
      </w:r>
      <w:r w:rsidR="00B0278F">
        <w:rPr>
          <w:highlight w:val="yellow"/>
          <w:lang w:val="en-US"/>
        </w:rPr>
        <w:t>2</w:t>
      </w:r>
      <w:r w:rsidR="00B0278F">
        <w:rPr>
          <w:highlight w:val="yellow"/>
          <w:lang w:val="en-US"/>
        </w:rPr>
        <w:t>5/35 in AOP Snapshot 212-2021-07-02T02_03)</w:t>
      </w:r>
      <w:r>
        <w:rPr>
          <w:color w:val="000000" w:themeColor="text1"/>
          <w:highlight w:val="yellow"/>
          <w:lang w:val="en-US"/>
        </w:rPr>
        <w:t>: “</w:t>
      </w:r>
      <w:r w:rsidRPr="00AE6FD0">
        <w:rPr>
          <w:color w:val="000000" w:themeColor="text1"/>
          <w:highlight w:val="yellow"/>
          <w:lang w:val="en-US"/>
        </w:rPr>
        <w:t>The examples are only given for mammals:</w:t>
      </w:r>
      <w:r>
        <w:rPr>
          <w:color w:val="000000" w:themeColor="text1"/>
          <w:highlight w:val="yellow"/>
          <w:lang w:val="en-US"/>
        </w:rPr>
        <w:t>”</w:t>
      </w:r>
    </w:p>
    <w:p w14:paraId="2D620BCE" w14:textId="2DBB7B91" w:rsidR="00683423" w:rsidRDefault="00683423" w:rsidP="000F32F8">
      <w:pPr>
        <w:pStyle w:val="a6"/>
        <w:numPr>
          <w:ilvl w:val="0"/>
          <w:numId w:val="10"/>
        </w:numPr>
        <w:rPr>
          <w:lang w:val="en-US"/>
        </w:rPr>
      </w:pPr>
      <w:r w:rsidRPr="000F32F8">
        <w:rPr>
          <w:lang w:val="en-US"/>
        </w:rPr>
        <w:t xml:space="preserve">Cell cycle dysregulation may </w:t>
      </w:r>
      <w:proofErr w:type="gramStart"/>
      <w:r w:rsidRPr="000F32F8">
        <w:rPr>
          <w:lang w:val="en-US"/>
        </w:rPr>
        <w:t>lead</w:t>
      </w:r>
      <w:r w:rsidRPr="000F32F8">
        <w:rPr>
          <w:b/>
          <w:lang w:val="en-US"/>
        </w:rPr>
        <w:t>s</w:t>
      </w:r>
      <w:proofErr w:type="gramEnd"/>
      <w:r w:rsidRPr="000F32F8">
        <w:rPr>
          <w:lang w:val="en-US"/>
        </w:rPr>
        <w:t xml:space="preserve"> to apoptosis</w:t>
      </w:r>
    </w:p>
    <w:p w14:paraId="0C80258C" w14:textId="626CEDF1" w:rsidR="003A46CE" w:rsidRDefault="003A46CE" w:rsidP="003A46CE">
      <w:pPr>
        <w:pStyle w:val="a6"/>
        <w:rPr>
          <w:lang w:val="en-US"/>
        </w:rPr>
      </w:pPr>
      <w:r w:rsidRPr="003A46CE">
        <w:rPr>
          <w:highlight w:val="yellow"/>
          <w:lang w:val="en-US"/>
        </w:rPr>
        <w:sym w:font="Wingdings" w:char="F0E0"/>
      </w:r>
      <w:r w:rsidRPr="003A46CE">
        <w:rPr>
          <w:highlight w:val="yellow"/>
          <w:lang w:val="en-US"/>
        </w:rPr>
        <w:t xml:space="preserve"> Corrected</w:t>
      </w:r>
      <w:r w:rsidR="00B0278F">
        <w:rPr>
          <w:highlight w:val="yellow"/>
          <w:lang w:val="en-US"/>
        </w:rPr>
        <w:t xml:space="preserve"> </w:t>
      </w:r>
      <w:r w:rsidR="00B0278F">
        <w:rPr>
          <w:highlight w:val="yellow"/>
          <w:lang w:val="en-US"/>
        </w:rPr>
        <w:t xml:space="preserve">(p. </w:t>
      </w:r>
      <w:r w:rsidR="00B0278F">
        <w:rPr>
          <w:highlight w:val="yellow"/>
          <w:lang w:val="en-US"/>
        </w:rPr>
        <w:t>2</w:t>
      </w:r>
      <w:r w:rsidR="00B0278F">
        <w:rPr>
          <w:highlight w:val="yellow"/>
          <w:lang w:val="en-US"/>
        </w:rPr>
        <w:t>5/35 in AOP Snapshot 212-2021-07-02T02_03)</w:t>
      </w:r>
      <w:r w:rsidRPr="003A46CE">
        <w:rPr>
          <w:highlight w:val="yellow"/>
          <w:lang w:val="en-US"/>
        </w:rPr>
        <w:t>.</w:t>
      </w:r>
    </w:p>
    <w:p w14:paraId="256BB3DB" w14:textId="5FD7FFB0" w:rsidR="001C2280" w:rsidRPr="003A46CE" w:rsidRDefault="001C2280" w:rsidP="000F32F8">
      <w:pPr>
        <w:pStyle w:val="a6"/>
        <w:numPr>
          <w:ilvl w:val="0"/>
          <w:numId w:val="10"/>
        </w:numPr>
        <w:rPr>
          <w:lang w:val="en-US"/>
        </w:rPr>
      </w:pPr>
      <w:r w:rsidRPr="001C2280">
        <w:rPr>
          <w:lang w:val="en-US"/>
        </w:rPr>
        <w:t>microRNA-497, potentially targeting Bcl2 and Cyclin D2 (CCND2), induced apoptosis via the Bcl-2/</w:t>
      </w:r>
      <w:proofErr w:type="spellStart"/>
      <w:r w:rsidRPr="001C2280">
        <w:rPr>
          <w:lang w:val="en-US"/>
        </w:rPr>
        <w:t>Bax</w:t>
      </w:r>
      <w:proofErr w:type="spellEnd"/>
      <w:r w:rsidRPr="001C2280">
        <w:rPr>
          <w:lang w:val="en-US"/>
        </w:rPr>
        <w:t xml:space="preserve"> - caspase 9 - caspase 3 pathway and CCND2 protein in human umbilical vein endothelial cells (HUVECs) [Wu, 2016]. The microRNA-497 activated caspases 9 and 3, and decreased Bcl2 and CCND2 </w:t>
      </w:r>
      <w:r w:rsidRPr="001C2280">
        <w:rPr>
          <w:color w:val="0070C0"/>
          <w:lang w:val="en-US"/>
        </w:rPr>
        <w:t>– these 2 sentences should be combined</w:t>
      </w:r>
    </w:p>
    <w:p w14:paraId="7C78EFBB" w14:textId="377F5F16" w:rsidR="003A46CE" w:rsidRPr="00EB17C5" w:rsidRDefault="003A46CE" w:rsidP="003A46CE">
      <w:pPr>
        <w:pStyle w:val="a6"/>
        <w:rPr>
          <w:lang w:val="en-US"/>
        </w:rPr>
      </w:pPr>
      <w:r w:rsidRPr="003A46CE">
        <w:rPr>
          <w:highlight w:val="yellow"/>
          <w:lang w:val="en-US"/>
        </w:rPr>
        <w:sym w:font="Wingdings" w:char="F0E0"/>
      </w:r>
      <w:r w:rsidRPr="003A46CE">
        <w:rPr>
          <w:highlight w:val="yellow"/>
          <w:lang w:val="en-US"/>
        </w:rPr>
        <w:t xml:space="preserve"> </w:t>
      </w:r>
      <w:r>
        <w:rPr>
          <w:highlight w:val="yellow"/>
          <w:lang w:val="en-US"/>
        </w:rPr>
        <w:t>The sentence has been combined</w:t>
      </w:r>
      <w:r w:rsidR="00B0278F">
        <w:rPr>
          <w:highlight w:val="yellow"/>
          <w:lang w:val="en-US"/>
        </w:rPr>
        <w:t xml:space="preserve"> </w:t>
      </w:r>
      <w:r w:rsidR="00B0278F">
        <w:rPr>
          <w:highlight w:val="yellow"/>
          <w:lang w:val="en-US"/>
        </w:rPr>
        <w:t xml:space="preserve">(p. </w:t>
      </w:r>
      <w:r w:rsidR="00B0278F">
        <w:rPr>
          <w:highlight w:val="yellow"/>
          <w:lang w:val="en-US"/>
        </w:rPr>
        <w:t>2</w:t>
      </w:r>
      <w:r w:rsidR="00B0278F">
        <w:rPr>
          <w:highlight w:val="yellow"/>
          <w:lang w:val="en-US"/>
        </w:rPr>
        <w:t>5/35 in AOP Snapshot 212-2021-07-02T02_03)</w:t>
      </w:r>
      <w:r>
        <w:rPr>
          <w:highlight w:val="yellow"/>
          <w:lang w:val="en-US"/>
        </w:rPr>
        <w:t>: “</w:t>
      </w:r>
      <w:r w:rsidRPr="003A46CE">
        <w:rPr>
          <w:highlight w:val="yellow"/>
          <w:lang w:val="en-US"/>
        </w:rPr>
        <w:t>The microRNA-497, potentially targeting Bcl</w:t>
      </w:r>
      <w:r w:rsidR="008435B5">
        <w:rPr>
          <w:highlight w:val="yellow"/>
          <w:lang w:val="en-US"/>
        </w:rPr>
        <w:t>-</w:t>
      </w:r>
      <w:r w:rsidRPr="003A46CE">
        <w:rPr>
          <w:highlight w:val="yellow"/>
          <w:lang w:val="en-US"/>
        </w:rPr>
        <w:t>2 and cyclin D2 (CCND2), activated caspases</w:t>
      </w:r>
      <w:r w:rsidR="001D567C">
        <w:rPr>
          <w:highlight w:val="yellow"/>
          <w:lang w:val="en-US"/>
        </w:rPr>
        <w:t xml:space="preserve"> </w:t>
      </w:r>
      <w:r w:rsidRPr="003A46CE">
        <w:rPr>
          <w:highlight w:val="yellow"/>
          <w:lang w:val="en-US"/>
        </w:rPr>
        <w:t>9/3, and induced apoptosis via the Bcl</w:t>
      </w:r>
      <w:r w:rsidR="008435B5">
        <w:rPr>
          <w:highlight w:val="yellow"/>
          <w:lang w:val="en-US"/>
        </w:rPr>
        <w:t>-</w:t>
      </w:r>
      <w:r w:rsidRPr="003A46CE">
        <w:rPr>
          <w:highlight w:val="yellow"/>
          <w:lang w:val="en-US"/>
        </w:rPr>
        <w:t>2/</w:t>
      </w:r>
      <w:proofErr w:type="spellStart"/>
      <w:r w:rsidRPr="003A46CE">
        <w:rPr>
          <w:highlight w:val="yellow"/>
          <w:lang w:val="en-US"/>
        </w:rPr>
        <w:t>Bax</w:t>
      </w:r>
      <w:proofErr w:type="spellEnd"/>
      <w:r w:rsidRPr="003A46CE">
        <w:rPr>
          <w:highlight w:val="yellow"/>
          <w:lang w:val="en-US"/>
        </w:rPr>
        <w:t xml:space="preserve"> - caspase 9 - caspase 3 pathway and CCND2 protein in human umbilical vein endothelial cells (HUVECs) [Wu, 2016]</w:t>
      </w:r>
      <w:r>
        <w:rPr>
          <w:highlight w:val="yellow"/>
          <w:lang w:val="en-US"/>
        </w:rPr>
        <w:t>”</w:t>
      </w:r>
      <w:r w:rsidRPr="003A46CE">
        <w:rPr>
          <w:highlight w:val="yellow"/>
          <w:lang w:val="en-US"/>
        </w:rPr>
        <w:t>.</w:t>
      </w:r>
    </w:p>
    <w:p w14:paraId="2FDFA01E" w14:textId="77777777" w:rsidR="00EB17C5" w:rsidRDefault="00EB17C5" w:rsidP="00EB17C5">
      <w:pPr>
        <w:rPr>
          <w:lang w:val="en-US"/>
        </w:rPr>
      </w:pPr>
    </w:p>
    <w:p w14:paraId="310E6449" w14:textId="77777777" w:rsidR="00EB17C5" w:rsidRPr="00EB17C5" w:rsidRDefault="00EB17C5" w:rsidP="00EB17C5">
      <w:pPr>
        <w:rPr>
          <w:b/>
          <w:lang w:val="en-US"/>
        </w:rPr>
      </w:pPr>
      <w:r w:rsidRPr="00EB17C5">
        <w:rPr>
          <w:b/>
          <w:lang w:val="en-US"/>
        </w:rPr>
        <w:t>p. 36</w:t>
      </w:r>
    </w:p>
    <w:p w14:paraId="1029FFA4" w14:textId="3EA2179F" w:rsidR="00EB17C5" w:rsidRDefault="00EB17C5" w:rsidP="00EB17C5">
      <w:pPr>
        <w:rPr>
          <w:color w:val="0070C0"/>
          <w:lang w:val="en-US"/>
        </w:rPr>
      </w:pPr>
      <w:r w:rsidRPr="00EB17C5">
        <w:rPr>
          <w:lang w:val="en-US"/>
        </w:rPr>
        <w:t>The decrease in total DNA was measured, the increase in cell death was observed</w:t>
      </w:r>
      <w:r>
        <w:rPr>
          <w:lang w:val="en-US"/>
        </w:rPr>
        <w:t xml:space="preserve"> – </w:t>
      </w:r>
      <w:r w:rsidRPr="00EB17C5">
        <w:rPr>
          <w:color w:val="0070C0"/>
          <w:lang w:val="en-US"/>
        </w:rPr>
        <w:t>wasn’t it measured as LDH activity? Maybe this sentence can be deleted.</w:t>
      </w:r>
    </w:p>
    <w:p w14:paraId="6B70F62B" w14:textId="268599D4" w:rsidR="0010377F" w:rsidRPr="00007D68" w:rsidRDefault="0010377F" w:rsidP="00EB17C5">
      <w:pPr>
        <w:rPr>
          <w:color w:val="000000" w:themeColor="text1"/>
        </w:rPr>
      </w:pPr>
      <w:r w:rsidRPr="0010377F">
        <w:rPr>
          <w:color w:val="000000" w:themeColor="text1"/>
          <w:highlight w:val="yellow"/>
          <w:lang w:val="en-US"/>
        </w:rPr>
        <w:sym w:font="Wingdings" w:char="F0E0"/>
      </w:r>
      <w:r w:rsidRPr="0010377F">
        <w:rPr>
          <w:color w:val="000000" w:themeColor="text1"/>
          <w:highlight w:val="yellow"/>
          <w:lang w:val="en-US"/>
        </w:rPr>
        <w:t xml:space="preserve"> Deleted.</w:t>
      </w:r>
      <w:r w:rsidR="00B0278F" w:rsidRPr="00B0278F">
        <w:rPr>
          <w:highlight w:val="yellow"/>
          <w:lang w:val="en-US"/>
        </w:rPr>
        <w:t xml:space="preserve"> </w:t>
      </w:r>
      <w:r w:rsidR="00B0278F" w:rsidRPr="00007D68">
        <w:rPr>
          <w:highlight w:val="yellow"/>
        </w:rPr>
        <w:t xml:space="preserve">(p. </w:t>
      </w:r>
      <w:r w:rsidR="00B0278F" w:rsidRPr="00007D68">
        <w:rPr>
          <w:highlight w:val="yellow"/>
        </w:rPr>
        <w:t>2</w:t>
      </w:r>
      <w:r w:rsidR="00B0278F" w:rsidRPr="00007D68">
        <w:rPr>
          <w:highlight w:val="yellow"/>
        </w:rPr>
        <w:t>5/35 in AOP Snapshot 212-2021-07-02T02_03)</w:t>
      </w:r>
    </w:p>
    <w:p w14:paraId="3640F61E" w14:textId="77777777" w:rsidR="008D45A6" w:rsidRPr="00007D68" w:rsidRDefault="008D45A6" w:rsidP="00EB17C5">
      <w:pPr>
        <w:rPr>
          <w:color w:val="0070C0"/>
        </w:rPr>
      </w:pPr>
    </w:p>
    <w:p w14:paraId="752EB7EF" w14:textId="77777777" w:rsidR="008D45A6" w:rsidRPr="008D45A6" w:rsidRDefault="008D45A6" w:rsidP="00EB17C5">
      <w:pPr>
        <w:rPr>
          <w:b/>
          <w:lang w:val="en-US"/>
        </w:rPr>
      </w:pPr>
      <w:r w:rsidRPr="008D45A6">
        <w:rPr>
          <w:b/>
          <w:lang w:val="en-US"/>
        </w:rPr>
        <w:t>p. 41</w:t>
      </w:r>
    </w:p>
    <w:p w14:paraId="1C534044" w14:textId="156F1B29" w:rsidR="008D45A6" w:rsidRDefault="008D45A6" w:rsidP="00AD5E51">
      <w:pPr>
        <w:pStyle w:val="a6"/>
        <w:numPr>
          <w:ilvl w:val="0"/>
          <w:numId w:val="11"/>
        </w:numPr>
        <w:rPr>
          <w:lang w:val="en-US"/>
        </w:rPr>
      </w:pPr>
      <w:r w:rsidRPr="00AD5E51">
        <w:rPr>
          <w:lang w:val="en-US"/>
        </w:rPr>
        <w:t xml:space="preserve">Spermatocyte depletion leads to testicular </w:t>
      </w:r>
      <w:r w:rsidRPr="00AD5E51">
        <w:rPr>
          <w:b/>
          <w:strike/>
          <w:lang w:val="en-US"/>
        </w:rPr>
        <w:t>toxicity such as testicular</w:t>
      </w:r>
      <w:r w:rsidRPr="00AD5E51">
        <w:rPr>
          <w:lang w:val="en-US"/>
        </w:rPr>
        <w:t xml:space="preserve"> atrophy with decrease in size</w:t>
      </w:r>
    </w:p>
    <w:p w14:paraId="6271A977" w14:textId="14445715" w:rsidR="00FA4064" w:rsidRPr="00007D68" w:rsidRDefault="00FA4064" w:rsidP="00FA4064">
      <w:pPr>
        <w:pStyle w:val="a6"/>
      </w:pPr>
      <w:r w:rsidRPr="00FA4064">
        <w:rPr>
          <w:highlight w:val="yellow"/>
          <w:lang w:val="en-US"/>
        </w:rPr>
        <w:sym w:font="Wingdings" w:char="F0E0"/>
      </w:r>
      <w:r w:rsidRPr="00FA4064">
        <w:rPr>
          <w:highlight w:val="yellow"/>
          <w:lang w:val="en-US"/>
        </w:rPr>
        <w:t xml:space="preserve"> Corrected.</w:t>
      </w:r>
      <w:r w:rsidR="00007D68" w:rsidRPr="00007D68">
        <w:rPr>
          <w:highlight w:val="yellow"/>
          <w:lang w:val="en-US"/>
        </w:rPr>
        <w:t xml:space="preserve"> </w:t>
      </w:r>
      <w:r w:rsidR="00007D68" w:rsidRPr="00007D68">
        <w:rPr>
          <w:highlight w:val="yellow"/>
        </w:rPr>
        <w:t xml:space="preserve">(p. </w:t>
      </w:r>
      <w:r w:rsidR="00007D68" w:rsidRPr="00007D68">
        <w:rPr>
          <w:highlight w:val="yellow"/>
        </w:rPr>
        <w:t>28</w:t>
      </w:r>
      <w:r w:rsidR="00007D68" w:rsidRPr="00007D68">
        <w:rPr>
          <w:highlight w:val="yellow"/>
        </w:rPr>
        <w:t>/35 in AOP Snapshot 212-2021-07-02T02_03)</w:t>
      </w:r>
    </w:p>
    <w:p w14:paraId="40D52EAB" w14:textId="0188A4CC" w:rsidR="00AD5E51" w:rsidRDefault="00AD5E51" w:rsidP="00AD5E51">
      <w:pPr>
        <w:pStyle w:val="a6"/>
        <w:numPr>
          <w:ilvl w:val="0"/>
          <w:numId w:val="11"/>
        </w:numPr>
        <w:rPr>
          <w:lang w:val="en-US"/>
        </w:rPr>
      </w:pPr>
      <w:r w:rsidRPr="00AD5E51">
        <w:rPr>
          <w:lang w:val="en-US"/>
        </w:rPr>
        <w:t xml:space="preserve">There are different insults that can induce spermatocyte depletion and consequently testicular </w:t>
      </w:r>
      <w:r w:rsidRPr="00AD5E51">
        <w:rPr>
          <w:b/>
          <w:strike/>
          <w:lang w:val="en-US"/>
        </w:rPr>
        <w:t>toxicity</w:t>
      </w:r>
      <w:r w:rsidRPr="00AD5E51">
        <w:rPr>
          <w:lang w:val="en-US"/>
        </w:rPr>
        <w:t xml:space="preserve"> </w:t>
      </w:r>
      <w:r w:rsidRPr="00AD5E51">
        <w:rPr>
          <w:b/>
          <w:lang w:val="en-US"/>
        </w:rPr>
        <w:t>atrophy</w:t>
      </w:r>
      <w:r w:rsidRPr="00AD5E51">
        <w:rPr>
          <w:lang w:val="en-US"/>
        </w:rPr>
        <w:t>.</w:t>
      </w:r>
    </w:p>
    <w:p w14:paraId="7226E951" w14:textId="30C0ED05" w:rsidR="00FA4064" w:rsidRPr="00007D68" w:rsidRDefault="00FA4064" w:rsidP="00FA4064">
      <w:pPr>
        <w:pStyle w:val="a6"/>
      </w:pPr>
      <w:r w:rsidRPr="00FA4064">
        <w:rPr>
          <w:highlight w:val="yellow"/>
          <w:lang w:val="en-US"/>
        </w:rPr>
        <w:sym w:font="Wingdings" w:char="F0E0"/>
      </w:r>
      <w:r w:rsidRPr="00FA4064">
        <w:rPr>
          <w:highlight w:val="yellow"/>
          <w:lang w:val="en-US"/>
        </w:rPr>
        <w:t xml:space="preserve"> Corrected.</w:t>
      </w:r>
      <w:r w:rsidR="00007D68" w:rsidRPr="00007D68">
        <w:rPr>
          <w:highlight w:val="yellow"/>
          <w:lang w:val="en-US"/>
        </w:rPr>
        <w:t xml:space="preserve"> </w:t>
      </w:r>
      <w:r w:rsidR="00007D68" w:rsidRPr="00007D68">
        <w:rPr>
          <w:highlight w:val="yellow"/>
        </w:rPr>
        <w:t xml:space="preserve">(p. </w:t>
      </w:r>
      <w:r w:rsidR="00007D68" w:rsidRPr="00007D68">
        <w:rPr>
          <w:highlight w:val="yellow"/>
        </w:rPr>
        <w:t>28</w:t>
      </w:r>
      <w:r w:rsidR="00007D68" w:rsidRPr="00007D68">
        <w:rPr>
          <w:highlight w:val="yellow"/>
        </w:rPr>
        <w:t>/35 in AOP Snapshot 212-2021-07-02T02_03)</w:t>
      </w:r>
    </w:p>
    <w:p w14:paraId="4D6C3847" w14:textId="77777777" w:rsidR="00DB6356" w:rsidRPr="00007D68" w:rsidRDefault="00DB6356" w:rsidP="00DB6356"/>
    <w:p w14:paraId="4BB7D3AF" w14:textId="77777777" w:rsidR="00DB6356" w:rsidRPr="00DB6356" w:rsidRDefault="00DB6356" w:rsidP="00DB6356">
      <w:pPr>
        <w:rPr>
          <w:b/>
          <w:lang w:val="en-US"/>
        </w:rPr>
      </w:pPr>
      <w:r w:rsidRPr="00DB6356">
        <w:rPr>
          <w:b/>
          <w:lang w:val="en-US"/>
        </w:rPr>
        <w:t>p. 42</w:t>
      </w:r>
    </w:p>
    <w:p w14:paraId="6640BCE2" w14:textId="0CF573C8" w:rsidR="00DB6356" w:rsidRDefault="00DB6356" w:rsidP="000E54C1">
      <w:pPr>
        <w:pStyle w:val="a6"/>
        <w:numPr>
          <w:ilvl w:val="0"/>
          <w:numId w:val="12"/>
        </w:numPr>
        <w:rPr>
          <w:b/>
          <w:lang w:val="en-US"/>
        </w:rPr>
      </w:pPr>
      <w:r w:rsidRPr="000E54C1">
        <w:rPr>
          <w:lang w:val="en-US"/>
        </w:rPr>
        <w:t xml:space="preserve">Spermatocyte depletion caused by apoptosis leads to the testicular </w:t>
      </w:r>
      <w:r w:rsidRPr="000E54C1">
        <w:rPr>
          <w:b/>
          <w:strike/>
          <w:lang w:val="en-US"/>
        </w:rPr>
        <w:t>toxicity</w:t>
      </w:r>
      <w:r w:rsidRPr="000E54C1">
        <w:rPr>
          <w:lang w:val="en-US"/>
        </w:rPr>
        <w:t xml:space="preserve"> </w:t>
      </w:r>
      <w:r w:rsidRPr="000E54C1">
        <w:rPr>
          <w:b/>
          <w:lang w:val="en-US"/>
        </w:rPr>
        <w:t>atrophy</w:t>
      </w:r>
    </w:p>
    <w:p w14:paraId="3F6788B6" w14:textId="7DF3C328" w:rsidR="00FA4064" w:rsidRPr="00007D68" w:rsidRDefault="00FA4064" w:rsidP="00FA4064">
      <w:pPr>
        <w:pStyle w:val="a6"/>
      </w:pPr>
      <w:r w:rsidRPr="00FA4064">
        <w:rPr>
          <w:highlight w:val="yellow"/>
          <w:lang w:val="en-US"/>
        </w:rPr>
        <w:sym w:font="Wingdings" w:char="F0E0"/>
      </w:r>
      <w:r w:rsidRPr="00FA4064">
        <w:rPr>
          <w:highlight w:val="yellow"/>
          <w:lang w:val="en-US"/>
        </w:rPr>
        <w:t xml:space="preserve"> Corrected.</w:t>
      </w:r>
      <w:r w:rsidR="00007D68" w:rsidRPr="00007D68">
        <w:rPr>
          <w:highlight w:val="yellow"/>
          <w:lang w:val="en-US"/>
        </w:rPr>
        <w:t xml:space="preserve"> </w:t>
      </w:r>
      <w:r w:rsidR="00007D68" w:rsidRPr="00007D68">
        <w:rPr>
          <w:highlight w:val="yellow"/>
        </w:rPr>
        <w:t xml:space="preserve">(p. </w:t>
      </w:r>
      <w:r w:rsidR="00007D68" w:rsidRPr="00007D68">
        <w:rPr>
          <w:highlight w:val="yellow"/>
        </w:rPr>
        <w:t>28</w:t>
      </w:r>
      <w:r w:rsidR="00007D68" w:rsidRPr="00007D68">
        <w:rPr>
          <w:highlight w:val="yellow"/>
        </w:rPr>
        <w:t>/35 in AOP Snapshot 212-2021-07-02T02_03)</w:t>
      </w:r>
    </w:p>
    <w:p w14:paraId="5C9B21E9" w14:textId="77777777" w:rsidR="000E54C1" w:rsidRDefault="00376892" w:rsidP="000E54C1">
      <w:pPr>
        <w:pStyle w:val="a6"/>
        <w:numPr>
          <w:ilvl w:val="0"/>
          <w:numId w:val="12"/>
        </w:numPr>
        <w:rPr>
          <w:lang w:val="en-US"/>
        </w:rPr>
      </w:pPr>
      <w:r w:rsidRPr="000E54C1">
        <w:rPr>
          <w:lang w:val="en-US"/>
        </w:rPr>
        <w:t>Apoptosis is a basic biological phenomenon in which the cells are controlled in the atrophy of various tissues and organs through the deletion and turnover, as well as in tumor regression</w:t>
      </w:r>
    </w:p>
    <w:p w14:paraId="4670D27E" w14:textId="44D90E5B" w:rsidR="000E54C1" w:rsidRDefault="000E54C1" w:rsidP="000E54C1">
      <w:pPr>
        <w:pStyle w:val="a6"/>
        <w:numPr>
          <w:ilvl w:val="1"/>
          <w:numId w:val="12"/>
        </w:numPr>
        <w:rPr>
          <w:color w:val="0070C0"/>
          <w:lang w:val="en-US"/>
        </w:rPr>
      </w:pPr>
      <w:r w:rsidRPr="000E54C1">
        <w:rPr>
          <w:color w:val="0070C0"/>
          <w:lang w:val="en-US"/>
        </w:rPr>
        <w:t>Apoptosis is a basic biological phenomenon in which the cells are controlled through deletion and turnover</w:t>
      </w:r>
      <w:r w:rsidR="00D128A2">
        <w:rPr>
          <w:color w:val="0070C0"/>
          <w:lang w:val="en-US"/>
        </w:rPr>
        <w:t xml:space="preserve"> </w:t>
      </w:r>
      <w:r w:rsidRPr="000E54C1">
        <w:rPr>
          <w:color w:val="0070C0"/>
          <w:lang w:val="en-US"/>
        </w:rPr>
        <w:t>in the atrophy of various tissues and organs as well as in tumor regression</w:t>
      </w:r>
    </w:p>
    <w:p w14:paraId="1FC20CB5" w14:textId="48C540EB" w:rsidR="009563A6" w:rsidRPr="009B738A" w:rsidRDefault="009563A6" w:rsidP="009563A6">
      <w:pPr>
        <w:pStyle w:val="a6"/>
        <w:ind w:firstLineChars="150" w:firstLine="330"/>
      </w:pPr>
      <w:r w:rsidRPr="00FA4064">
        <w:rPr>
          <w:highlight w:val="yellow"/>
          <w:lang w:val="en-US"/>
        </w:rPr>
        <w:sym w:font="Wingdings" w:char="F0E0"/>
      </w:r>
      <w:r w:rsidRPr="00FA4064">
        <w:rPr>
          <w:highlight w:val="yellow"/>
          <w:lang w:val="en-US"/>
        </w:rPr>
        <w:t xml:space="preserve"> Corrected.</w:t>
      </w:r>
      <w:r w:rsidR="00007D68" w:rsidRPr="00007D68">
        <w:rPr>
          <w:highlight w:val="yellow"/>
          <w:lang w:val="en-US"/>
        </w:rPr>
        <w:t xml:space="preserve"> </w:t>
      </w:r>
      <w:r w:rsidR="00007D68" w:rsidRPr="009B738A">
        <w:rPr>
          <w:highlight w:val="yellow"/>
        </w:rPr>
        <w:t xml:space="preserve">(p. </w:t>
      </w:r>
      <w:r w:rsidR="00007D68" w:rsidRPr="009B738A">
        <w:rPr>
          <w:highlight w:val="yellow"/>
        </w:rPr>
        <w:t>28</w:t>
      </w:r>
      <w:r w:rsidR="00007D68" w:rsidRPr="009B738A">
        <w:rPr>
          <w:highlight w:val="yellow"/>
        </w:rPr>
        <w:t>/35 in AOP Snapshot 212-2021-07-02T02_03)</w:t>
      </w:r>
    </w:p>
    <w:p w14:paraId="56088423" w14:textId="77777777" w:rsidR="009563A6" w:rsidRPr="009B738A" w:rsidRDefault="009563A6" w:rsidP="009563A6">
      <w:pPr>
        <w:pStyle w:val="a6"/>
        <w:ind w:left="1440"/>
        <w:rPr>
          <w:color w:val="0070C0"/>
        </w:rPr>
      </w:pPr>
    </w:p>
    <w:p w14:paraId="7148065C" w14:textId="77777777" w:rsidR="000E54C1" w:rsidRPr="009B738A" w:rsidRDefault="000E54C1" w:rsidP="00DB6356"/>
    <w:p w14:paraId="36603B88" w14:textId="7F33D003" w:rsidR="009B738A" w:rsidRPr="008E3076" w:rsidRDefault="009B738A" w:rsidP="00DB6356">
      <w:pPr>
        <w:rPr>
          <w:b/>
          <w:bCs/>
          <w:sz w:val="24"/>
          <w:szCs w:val="24"/>
          <w:highlight w:val="yellow"/>
          <w:lang w:val="en-US"/>
        </w:rPr>
      </w:pPr>
      <w:r w:rsidRPr="008E3076">
        <w:rPr>
          <w:rFonts w:hint="eastAsia"/>
          <w:b/>
          <w:bCs/>
          <w:sz w:val="24"/>
          <w:szCs w:val="24"/>
          <w:highlight w:val="yellow"/>
          <w:lang w:val="en-US"/>
        </w:rPr>
        <w:lastRenderedPageBreak/>
        <w:t>A</w:t>
      </w:r>
      <w:r w:rsidRPr="008E3076">
        <w:rPr>
          <w:b/>
          <w:bCs/>
          <w:sz w:val="24"/>
          <w:szCs w:val="24"/>
          <w:highlight w:val="yellow"/>
          <w:lang w:val="en-US"/>
        </w:rPr>
        <w:t>cknowledgements:</w:t>
      </w:r>
    </w:p>
    <w:p w14:paraId="01BFF788" w14:textId="77777777" w:rsidR="009B738A" w:rsidRPr="008E3076" w:rsidRDefault="009B738A" w:rsidP="00DB6356">
      <w:pPr>
        <w:rPr>
          <w:b/>
          <w:bCs/>
          <w:sz w:val="24"/>
          <w:szCs w:val="24"/>
          <w:highlight w:val="yellow"/>
          <w:lang w:val="en-US"/>
        </w:rPr>
      </w:pPr>
    </w:p>
    <w:p w14:paraId="7328E869" w14:textId="6813B460" w:rsidR="00376892" w:rsidRPr="008E3076" w:rsidRDefault="006856D1" w:rsidP="00DB6356">
      <w:pPr>
        <w:rPr>
          <w:b/>
          <w:bCs/>
          <w:sz w:val="24"/>
          <w:szCs w:val="24"/>
          <w:lang w:val="en-US"/>
        </w:rPr>
      </w:pPr>
      <w:r w:rsidRPr="008E3076">
        <w:rPr>
          <w:rFonts w:hint="eastAsia"/>
          <w:b/>
          <w:bCs/>
          <w:sz w:val="24"/>
          <w:szCs w:val="24"/>
          <w:highlight w:val="yellow"/>
          <w:lang w:val="en-US"/>
        </w:rPr>
        <w:t>T</w:t>
      </w:r>
      <w:r w:rsidRPr="008E3076">
        <w:rPr>
          <w:b/>
          <w:bCs/>
          <w:sz w:val="24"/>
          <w:szCs w:val="24"/>
          <w:highlight w:val="yellow"/>
          <w:lang w:val="en-US"/>
        </w:rPr>
        <w:t>hank you so much again for carefully reviewing and checking the AOP212. It was so helpful and very kind of you to review and proofread the AOP212 for finalization. The AOP212 has been proofread, and some minor mistakes in English grammar (such as the usage of “,” or “the” etc.)</w:t>
      </w:r>
      <w:r w:rsidR="009B738A" w:rsidRPr="008E3076">
        <w:rPr>
          <w:b/>
          <w:bCs/>
          <w:sz w:val="24"/>
          <w:szCs w:val="24"/>
          <w:highlight w:val="yellow"/>
          <w:lang w:val="en-US"/>
        </w:rPr>
        <w:t xml:space="preserve"> including typos</w:t>
      </w:r>
      <w:r w:rsidRPr="008E3076">
        <w:rPr>
          <w:b/>
          <w:bCs/>
          <w:sz w:val="24"/>
          <w:szCs w:val="24"/>
          <w:highlight w:val="yellow"/>
          <w:lang w:val="en-US"/>
        </w:rPr>
        <w:t xml:space="preserve"> has been corrected with the help of AI. We greatly appreciate your considerable comments and really look forward to the release of AOP212.</w:t>
      </w:r>
    </w:p>
    <w:p w14:paraId="0369010E" w14:textId="781CE885" w:rsidR="00376892" w:rsidRPr="008E3076" w:rsidRDefault="00376892" w:rsidP="00DB6356">
      <w:pPr>
        <w:rPr>
          <w:sz w:val="24"/>
          <w:szCs w:val="24"/>
          <w:lang w:val="en-US"/>
        </w:rPr>
      </w:pPr>
    </w:p>
    <w:p w14:paraId="08113972" w14:textId="543A154E" w:rsidR="00FD6618" w:rsidRPr="008E3076" w:rsidRDefault="00FD6618" w:rsidP="00DB6356">
      <w:pPr>
        <w:rPr>
          <w:b/>
          <w:bCs/>
          <w:color w:val="000000" w:themeColor="text1"/>
          <w:sz w:val="24"/>
          <w:szCs w:val="24"/>
          <w:highlight w:val="yellow"/>
          <w:lang w:val="en-US"/>
        </w:rPr>
      </w:pPr>
      <w:r w:rsidRPr="008E3076">
        <w:rPr>
          <w:rFonts w:hint="eastAsia"/>
          <w:b/>
          <w:bCs/>
          <w:color w:val="000000" w:themeColor="text1"/>
          <w:sz w:val="24"/>
          <w:szCs w:val="24"/>
          <w:highlight w:val="yellow"/>
          <w:lang w:val="en-US"/>
        </w:rPr>
        <w:t>S</w:t>
      </w:r>
      <w:r w:rsidRPr="008E3076">
        <w:rPr>
          <w:b/>
          <w:bCs/>
          <w:color w:val="000000" w:themeColor="text1"/>
          <w:sz w:val="24"/>
          <w:szCs w:val="24"/>
          <w:highlight w:val="yellow"/>
          <w:lang w:val="en-US"/>
        </w:rPr>
        <w:t>hihori Tanabe, Ph.D.</w:t>
      </w:r>
    </w:p>
    <w:p w14:paraId="640E86CE" w14:textId="77777777" w:rsidR="00FD6618" w:rsidRPr="008E3076" w:rsidRDefault="00FD6618" w:rsidP="00FD6618">
      <w:pPr>
        <w:rPr>
          <w:b/>
          <w:bCs/>
          <w:color w:val="000000" w:themeColor="text1"/>
          <w:sz w:val="24"/>
          <w:szCs w:val="24"/>
          <w:lang w:val="en-US"/>
        </w:rPr>
      </w:pPr>
      <w:r w:rsidRPr="008E3076">
        <w:rPr>
          <w:b/>
          <w:bCs/>
          <w:color w:val="000000" w:themeColor="text1"/>
          <w:sz w:val="24"/>
          <w:szCs w:val="24"/>
          <w:highlight w:val="yellow"/>
          <w:lang w:val="en-US"/>
        </w:rPr>
        <w:t xml:space="preserve">Division of Risk Assessment, </w:t>
      </w:r>
      <w:r w:rsidRPr="008E3076">
        <w:rPr>
          <w:b/>
          <w:bCs/>
          <w:color w:val="000000" w:themeColor="text1"/>
          <w:sz w:val="24"/>
          <w:szCs w:val="24"/>
          <w:highlight w:val="yellow"/>
          <w:lang w:val="en-US"/>
        </w:rPr>
        <w:t>Center for Biological Safety and Research, National Institute of Health Sciences, Japan</w:t>
      </w:r>
    </w:p>
    <w:p w14:paraId="535043D3" w14:textId="1C566B2C" w:rsidR="00FD6618" w:rsidRPr="008E3076" w:rsidRDefault="00FD6618" w:rsidP="00DB6356">
      <w:pPr>
        <w:rPr>
          <w:b/>
          <w:bCs/>
          <w:color w:val="000000" w:themeColor="text1"/>
          <w:lang w:val="en-US"/>
        </w:rPr>
      </w:pPr>
    </w:p>
    <w:sectPr w:rsidR="00FD6618" w:rsidRPr="008E30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14AF"/>
    <w:multiLevelType w:val="hybridMultilevel"/>
    <w:tmpl w:val="75D60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8F47B9"/>
    <w:multiLevelType w:val="hybridMultilevel"/>
    <w:tmpl w:val="8A041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512B17"/>
    <w:multiLevelType w:val="hybridMultilevel"/>
    <w:tmpl w:val="76D6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7A267A"/>
    <w:multiLevelType w:val="hybridMultilevel"/>
    <w:tmpl w:val="4E7AED10"/>
    <w:lvl w:ilvl="0" w:tplc="12A477A4">
      <w:start w:val="16"/>
      <w:numFmt w:val="bullet"/>
      <w:lvlText w:val=""/>
      <w:lvlJc w:val="left"/>
      <w:pPr>
        <w:ind w:left="1068" w:hanging="360"/>
      </w:pPr>
      <w:rPr>
        <w:rFonts w:ascii="Wingdings" w:eastAsiaTheme="minorHAnsi" w:hAnsi="Wingdings" w:cstheme="minorBidi"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314012DC"/>
    <w:multiLevelType w:val="hybridMultilevel"/>
    <w:tmpl w:val="6B0AC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064645"/>
    <w:multiLevelType w:val="hybridMultilevel"/>
    <w:tmpl w:val="ECE83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8934EF"/>
    <w:multiLevelType w:val="hybridMultilevel"/>
    <w:tmpl w:val="3F701D6A"/>
    <w:lvl w:ilvl="0" w:tplc="813A101C">
      <w:start w:val="2"/>
      <w:numFmt w:val="bullet"/>
      <w:lvlText w:val=""/>
      <w:lvlJc w:val="left"/>
      <w:pPr>
        <w:ind w:left="1080" w:hanging="360"/>
      </w:pPr>
      <w:rPr>
        <w:rFonts w:ascii="Wingdings" w:eastAsiaTheme="minorEastAsia" w:hAnsi="Wingdings"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92A1ACD"/>
    <w:multiLevelType w:val="hybridMultilevel"/>
    <w:tmpl w:val="00ECCB7E"/>
    <w:lvl w:ilvl="0" w:tplc="04070001">
      <w:start w:val="1"/>
      <w:numFmt w:val="bullet"/>
      <w:lvlText w:val=""/>
      <w:lvlJc w:val="left"/>
      <w:pPr>
        <w:ind w:left="720" w:hanging="360"/>
      </w:pPr>
      <w:rPr>
        <w:rFonts w:ascii="Symbol" w:hAnsi="Symbol" w:hint="default"/>
      </w:rPr>
    </w:lvl>
    <w:lvl w:ilvl="1" w:tplc="12A477A4">
      <w:start w:val="16"/>
      <w:numFmt w:val="bullet"/>
      <w:lvlText w:val=""/>
      <w:lvlJc w:val="left"/>
      <w:pPr>
        <w:ind w:left="1440" w:hanging="360"/>
      </w:pPr>
      <w:rPr>
        <w:rFonts w:ascii="Wingdings" w:eastAsiaTheme="minorHAnsi" w:hAnsi="Wingdings" w:cstheme="minorBidi"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AC79AA"/>
    <w:multiLevelType w:val="hybridMultilevel"/>
    <w:tmpl w:val="87B49182"/>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CE2312"/>
    <w:multiLevelType w:val="hybridMultilevel"/>
    <w:tmpl w:val="632E5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355630"/>
    <w:multiLevelType w:val="hybridMultilevel"/>
    <w:tmpl w:val="921CD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B43FD3"/>
    <w:multiLevelType w:val="hybridMultilevel"/>
    <w:tmpl w:val="A23EBC68"/>
    <w:lvl w:ilvl="0" w:tplc="12A477A4">
      <w:start w:val="16"/>
      <w:numFmt w:val="bullet"/>
      <w:lvlText w:val=""/>
      <w:lvlJc w:val="left"/>
      <w:pPr>
        <w:ind w:left="720" w:hanging="360"/>
      </w:pPr>
      <w:rPr>
        <w:rFonts w:ascii="Wingdings" w:eastAsiaTheme="minorHAnsi" w:hAnsi="Wingdings"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920917"/>
    <w:multiLevelType w:val="hybridMultilevel"/>
    <w:tmpl w:val="F0B86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4"/>
  </w:num>
  <w:num w:numId="5">
    <w:abstractNumId w:val="3"/>
  </w:num>
  <w:num w:numId="6">
    <w:abstractNumId w:val="11"/>
  </w:num>
  <w:num w:numId="7">
    <w:abstractNumId w:val="8"/>
  </w:num>
  <w:num w:numId="8">
    <w:abstractNumId w:val="5"/>
  </w:num>
  <w:num w:numId="9">
    <w:abstractNumId w:val="0"/>
  </w:num>
  <w:num w:numId="10">
    <w:abstractNumId w:val="2"/>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F5"/>
    <w:rsid w:val="000009AA"/>
    <w:rsid w:val="00003A36"/>
    <w:rsid w:val="0000664E"/>
    <w:rsid w:val="00007D68"/>
    <w:rsid w:val="00011A14"/>
    <w:rsid w:val="00016A1C"/>
    <w:rsid w:val="000206B0"/>
    <w:rsid w:val="000216D8"/>
    <w:rsid w:val="000253D2"/>
    <w:rsid w:val="000279DE"/>
    <w:rsid w:val="000304F6"/>
    <w:rsid w:val="0003197D"/>
    <w:rsid w:val="000379A5"/>
    <w:rsid w:val="0004092B"/>
    <w:rsid w:val="00041192"/>
    <w:rsid w:val="00041A11"/>
    <w:rsid w:val="00044BB9"/>
    <w:rsid w:val="00045C7C"/>
    <w:rsid w:val="000512F9"/>
    <w:rsid w:val="00053E86"/>
    <w:rsid w:val="0005708D"/>
    <w:rsid w:val="0005747D"/>
    <w:rsid w:val="0006226C"/>
    <w:rsid w:val="000632E2"/>
    <w:rsid w:val="0006660E"/>
    <w:rsid w:val="00072116"/>
    <w:rsid w:val="00072A96"/>
    <w:rsid w:val="000738B6"/>
    <w:rsid w:val="00075794"/>
    <w:rsid w:val="00075A9F"/>
    <w:rsid w:val="00076374"/>
    <w:rsid w:val="00076466"/>
    <w:rsid w:val="00076EA0"/>
    <w:rsid w:val="00077820"/>
    <w:rsid w:val="00077CB0"/>
    <w:rsid w:val="00077D6F"/>
    <w:rsid w:val="00082394"/>
    <w:rsid w:val="00082F92"/>
    <w:rsid w:val="00082FE9"/>
    <w:rsid w:val="00083271"/>
    <w:rsid w:val="000870F1"/>
    <w:rsid w:val="00090EA4"/>
    <w:rsid w:val="000910BB"/>
    <w:rsid w:val="000911D9"/>
    <w:rsid w:val="0009152D"/>
    <w:rsid w:val="0009275A"/>
    <w:rsid w:val="0009358A"/>
    <w:rsid w:val="00097F1E"/>
    <w:rsid w:val="000A116A"/>
    <w:rsid w:val="000B159A"/>
    <w:rsid w:val="000B16F6"/>
    <w:rsid w:val="000B35A1"/>
    <w:rsid w:val="000B5BE8"/>
    <w:rsid w:val="000B7181"/>
    <w:rsid w:val="000C26CE"/>
    <w:rsid w:val="000C4A8C"/>
    <w:rsid w:val="000C52E3"/>
    <w:rsid w:val="000C6767"/>
    <w:rsid w:val="000D00C7"/>
    <w:rsid w:val="000D2580"/>
    <w:rsid w:val="000D2D00"/>
    <w:rsid w:val="000D33F9"/>
    <w:rsid w:val="000D7FA7"/>
    <w:rsid w:val="000E17A0"/>
    <w:rsid w:val="000E371F"/>
    <w:rsid w:val="000E465A"/>
    <w:rsid w:val="000E54C1"/>
    <w:rsid w:val="000E5D13"/>
    <w:rsid w:val="000E6ED2"/>
    <w:rsid w:val="000F071B"/>
    <w:rsid w:val="000F11C4"/>
    <w:rsid w:val="000F32F8"/>
    <w:rsid w:val="000F4899"/>
    <w:rsid w:val="000F4B99"/>
    <w:rsid w:val="00100DD4"/>
    <w:rsid w:val="0010125E"/>
    <w:rsid w:val="0010377F"/>
    <w:rsid w:val="00110488"/>
    <w:rsid w:val="001111D5"/>
    <w:rsid w:val="00114B61"/>
    <w:rsid w:val="00121F2F"/>
    <w:rsid w:val="00122730"/>
    <w:rsid w:val="0012595D"/>
    <w:rsid w:val="00127AF2"/>
    <w:rsid w:val="00135715"/>
    <w:rsid w:val="001373C2"/>
    <w:rsid w:val="00137601"/>
    <w:rsid w:val="00141B98"/>
    <w:rsid w:val="00144CD4"/>
    <w:rsid w:val="001454E1"/>
    <w:rsid w:val="00145CB0"/>
    <w:rsid w:val="00146EB3"/>
    <w:rsid w:val="001477B2"/>
    <w:rsid w:val="00151136"/>
    <w:rsid w:val="001531A7"/>
    <w:rsid w:val="001542C5"/>
    <w:rsid w:val="001545C6"/>
    <w:rsid w:val="00161708"/>
    <w:rsid w:val="0016232A"/>
    <w:rsid w:val="00164C7A"/>
    <w:rsid w:val="00164CF3"/>
    <w:rsid w:val="00172B9F"/>
    <w:rsid w:val="00175CF5"/>
    <w:rsid w:val="00176773"/>
    <w:rsid w:val="00180A7E"/>
    <w:rsid w:val="00181026"/>
    <w:rsid w:val="001823B9"/>
    <w:rsid w:val="00182613"/>
    <w:rsid w:val="00192EB6"/>
    <w:rsid w:val="001940B8"/>
    <w:rsid w:val="00194F7D"/>
    <w:rsid w:val="001979CF"/>
    <w:rsid w:val="001A0DA8"/>
    <w:rsid w:val="001A36FD"/>
    <w:rsid w:val="001A4E59"/>
    <w:rsid w:val="001A7E47"/>
    <w:rsid w:val="001B056B"/>
    <w:rsid w:val="001B2ABA"/>
    <w:rsid w:val="001B3C32"/>
    <w:rsid w:val="001B7200"/>
    <w:rsid w:val="001B7BE1"/>
    <w:rsid w:val="001C0424"/>
    <w:rsid w:val="001C1AB1"/>
    <w:rsid w:val="001C2280"/>
    <w:rsid w:val="001D1AFD"/>
    <w:rsid w:val="001D4001"/>
    <w:rsid w:val="001D567C"/>
    <w:rsid w:val="001D6C63"/>
    <w:rsid w:val="001E203B"/>
    <w:rsid w:val="001E30A2"/>
    <w:rsid w:val="001E7870"/>
    <w:rsid w:val="001F2913"/>
    <w:rsid w:val="001F3C5B"/>
    <w:rsid w:val="001F4D5F"/>
    <w:rsid w:val="001F6C22"/>
    <w:rsid w:val="001F7756"/>
    <w:rsid w:val="00205F04"/>
    <w:rsid w:val="00206C87"/>
    <w:rsid w:val="0021544F"/>
    <w:rsid w:val="00222085"/>
    <w:rsid w:val="002226A1"/>
    <w:rsid w:val="00230010"/>
    <w:rsid w:val="002336D5"/>
    <w:rsid w:val="00233C76"/>
    <w:rsid w:val="0023674A"/>
    <w:rsid w:val="00242A48"/>
    <w:rsid w:val="00244D96"/>
    <w:rsid w:val="0024752F"/>
    <w:rsid w:val="00250E49"/>
    <w:rsid w:val="00252958"/>
    <w:rsid w:val="00252FE7"/>
    <w:rsid w:val="002538A0"/>
    <w:rsid w:val="002555CD"/>
    <w:rsid w:val="002568FB"/>
    <w:rsid w:val="00262D31"/>
    <w:rsid w:val="00263543"/>
    <w:rsid w:val="002668E0"/>
    <w:rsid w:val="00267BE3"/>
    <w:rsid w:val="002735C0"/>
    <w:rsid w:val="002738CC"/>
    <w:rsid w:val="00280DBA"/>
    <w:rsid w:val="00285B86"/>
    <w:rsid w:val="00286CB1"/>
    <w:rsid w:val="00290276"/>
    <w:rsid w:val="002933E9"/>
    <w:rsid w:val="00296B89"/>
    <w:rsid w:val="002A1C35"/>
    <w:rsid w:val="002A1F07"/>
    <w:rsid w:val="002A7F93"/>
    <w:rsid w:val="002B0C78"/>
    <w:rsid w:val="002B31C0"/>
    <w:rsid w:val="002B5819"/>
    <w:rsid w:val="002C66B8"/>
    <w:rsid w:val="002D0EC9"/>
    <w:rsid w:val="002D34A8"/>
    <w:rsid w:val="002D4EB9"/>
    <w:rsid w:val="002D6CC7"/>
    <w:rsid w:val="002D7249"/>
    <w:rsid w:val="002E0C55"/>
    <w:rsid w:val="002F367A"/>
    <w:rsid w:val="002F4295"/>
    <w:rsid w:val="002F5F59"/>
    <w:rsid w:val="002F7DDB"/>
    <w:rsid w:val="00301E47"/>
    <w:rsid w:val="0030343D"/>
    <w:rsid w:val="00310A68"/>
    <w:rsid w:val="0031311A"/>
    <w:rsid w:val="0031685F"/>
    <w:rsid w:val="0032324B"/>
    <w:rsid w:val="00326E1C"/>
    <w:rsid w:val="00332EA1"/>
    <w:rsid w:val="0034117E"/>
    <w:rsid w:val="00342887"/>
    <w:rsid w:val="0034342E"/>
    <w:rsid w:val="00343AEA"/>
    <w:rsid w:val="00344B39"/>
    <w:rsid w:val="00346BAF"/>
    <w:rsid w:val="003601CF"/>
    <w:rsid w:val="00362720"/>
    <w:rsid w:val="00363155"/>
    <w:rsid w:val="00370C6E"/>
    <w:rsid w:val="00373DB9"/>
    <w:rsid w:val="00376892"/>
    <w:rsid w:val="00376BF8"/>
    <w:rsid w:val="00380E37"/>
    <w:rsid w:val="003876D9"/>
    <w:rsid w:val="003879FD"/>
    <w:rsid w:val="00391DDD"/>
    <w:rsid w:val="0039668D"/>
    <w:rsid w:val="003A29C2"/>
    <w:rsid w:val="003A2B43"/>
    <w:rsid w:val="003A460D"/>
    <w:rsid w:val="003A46CE"/>
    <w:rsid w:val="003B0479"/>
    <w:rsid w:val="003B0F31"/>
    <w:rsid w:val="003B120E"/>
    <w:rsid w:val="003B2ECF"/>
    <w:rsid w:val="003B303A"/>
    <w:rsid w:val="003B3361"/>
    <w:rsid w:val="003B4823"/>
    <w:rsid w:val="003B61A0"/>
    <w:rsid w:val="003D0994"/>
    <w:rsid w:val="003D0BC4"/>
    <w:rsid w:val="003D572F"/>
    <w:rsid w:val="003D57E1"/>
    <w:rsid w:val="003D7FB9"/>
    <w:rsid w:val="003E3F04"/>
    <w:rsid w:val="003E55C9"/>
    <w:rsid w:val="003E5B96"/>
    <w:rsid w:val="003E5F17"/>
    <w:rsid w:val="003F0E25"/>
    <w:rsid w:val="003F418B"/>
    <w:rsid w:val="003F5422"/>
    <w:rsid w:val="003F5759"/>
    <w:rsid w:val="00402CB1"/>
    <w:rsid w:val="004060B3"/>
    <w:rsid w:val="00410B51"/>
    <w:rsid w:val="00411770"/>
    <w:rsid w:val="0041207D"/>
    <w:rsid w:val="004121F8"/>
    <w:rsid w:val="00413DCD"/>
    <w:rsid w:val="00416330"/>
    <w:rsid w:val="0042034D"/>
    <w:rsid w:val="00420B88"/>
    <w:rsid w:val="00421FE3"/>
    <w:rsid w:val="0042613F"/>
    <w:rsid w:val="00432AFB"/>
    <w:rsid w:val="00434062"/>
    <w:rsid w:val="00434A77"/>
    <w:rsid w:val="00436809"/>
    <w:rsid w:val="00436A09"/>
    <w:rsid w:val="004403F7"/>
    <w:rsid w:val="00441E05"/>
    <w:rsid w:val="004444F1"/>
    <w:rsid w:val="00451B8A"/>
    <w:rsid w:val="0045570B"/>
    <w:rsid w:val="0045652C"/>
    <w:rsid w:val="004604B7"/>
    <w:rsid w:val="00462A9C"/>
    <w:rsid w:val="00462BC5"/>
    <w:rsid w:val="004632F1"/>
    <w:rsid w:val="00464249"/>
    <w:rsid w:val="00471DEE"/>
    <w:rsid w:val="00481715"/>
    <w:rsid w:val="00481A0F"/>
    <w:rsid w:val="004838F5"/>
    <w:rsid w:val="00485122"/>
    <w:rsid w:val="00485B5E"/>
    <w:rsid w:val="00486266"/>
    <w:rsid w:val="004903F8"/>
    <w:rsid w:val="00494992"/>
    <w:rsid w:val="00495F3A"/>
    <w:rsid w:val="004A0CA0"/>
    <w:rsid w:val="004A0D9B"/>
    <w:rsid w:val="004A23B2"/>
    <w:rsid w:val="004A31D9"/>
    <w:rsid w:val="004A5E00"/>
    <w:rsid w:val="004B1C42"/>
    <w:rsid w:val="004B1EF7"/>
    <w:rsid w:val="004B4BFB"/>
    <w:rsid w:val="004C5B20"/>
    <w:rsid w:val="004C7C2B"/>
    <w:rsid w:val="004D1278"/>
    <w:rsid w:val="004E1DDA"/>
    <w:rsid w:val="004E6BD0"/>
    <w:rsid w:val="004F0874"/>
    <w:rsid w:val="004F247B"/>
    <w:rsid w:val="004F277A"/>
    <w:rsid w:val="005005CB"/>
    <w:rsid w:val="00502665"/>
    <w:rsid w:val="00503D2E"/>
    <w:rsid w:val="0050415A"/>
    <w:rsid w:val="00511722"/>
    <w:rsid w:val="005124D1"/>
    <w:rsid w:val="00514E7C"/>
    <w:rsid w:val="00516F02"/>
    <w:rsid w:val="005208A3"/>
    <w:rsid w:val="00521EDC"/>
    <w:rsid w:val="00522CC3"/>
    <w:rsid w:val="005318F6"/>
    <w:rsid w:val="0053284F"/>
    <w:rsid w:val="00537E80"/>
    <w:rsid w:val="00537FFE"/>
    <w:rsid w:val="0054208C"/>
    <w:rsid w:val="005420D4"/>
    <w:rsid w:val="00545260"/>
    <w:rsid w:val="0054665B"/>
    <w:rsid w:val="005503DA"/>
    <w:rsid w:val="00551DDE"/>
    <w:rsid w:val="00553AAF"/>
    <w:rsid w:val="00553C9C"/>
    <w:rsid w:val="0055440C"/>
    <w:rsid w:val="00557BCE"/>
    <w:rsid w:val="00560ED4"/>
    <w:rsid w:val="00561E69"/>
    <w:rsid w:val="00565805"/>
    <w:rsid w:val="005669CB"/>
    <w:rsid w:val="005710E8"/>
    <w:rsid w:val="00572A22"/>
    <w:rsid w:val="00574FA5"/>
    <w:rsid w:val="005757F5"/>
    <w:rsid w:val="00586205"/>
    <w:rsid w:val="00593F8D"/>
    <w:rsid w:val="005943D9"/>
    <w:rsid w:val="005957AA"/>
    <w:rsid w:val="005A0A16"/>
    <w:rsid w:val="005A1504"/>
    <w:rsid w:val="005A26CB"/>
    <w:rsid w:val="005A60A4"/>
    <w:rsid w:val="005A7347"/>
    <w:rsid w:val="005B260E"/>
    <w:rsid w:val="005B354B"/>
    <w:rsid w:val="005B6F1A"/>
    <w:rsid w:val="005C0EA6"/>
    <w:rsid w:val="005C120B"/>
    <w:rsid w:val="005C20EC"/>
    <w:rsid w:val="005C4E0D"/>
    <w:rsid w:val="005C75D9"/>
    <w:rsid w:val="005C7ECB"/>
    <w:rsid w:val="005C7F63"/>
    <w:rsid w:val="005D13CB"/>
    <w:rsid w:val="005D1A31"/>
    <w:rsid w:val="005D3645"/>
    <w:rsid w:val="005D5BCA"/>
    <w:rsid w:val="005D6D42"/>
    <w:rsid w:val="005D6EA8"/>
    <w:rsid w:val="005E1439"/>
    <w:rsid w:val="005E22AF"/>
    <w:rsid w:val="005E428B"/>
    <w:rsid w:val="005E5E51"/>
    <w:rsid w:val="005E692F"/>
    <w:rsid w:val="005F17D8"/>
    <w:rsid w:val="005F5C86"/>
    <w:rsid w:val="006028CF"/>
    <w:rsid w:val="00607488"/>
    <w:rsid w:val="00613188"/>
    <w:rsid w:val="0061630C"/>
    <w:rsid w:val="0062291E"/>
    <w:rsid w:val="006238C1"/>
    <w:rsid w:val="0062553F"/>
    <w:rsid w:val="006258FE"/>
    <w:rsid w:val="00626924"/>
    <w:rsid w:val="006276FF"/>
    <w:rsid w:val="0063045B"/>
    <w:rsid w:val="00631305"/>
    <w:rsid w:val="00636A31"/>
    <w:rsid w:val="00642830"/>
    <w:rsid w:val="00665CD6"/>
    <w:rsid w:val="00672EAF"/>
    <w:rsid w:val="006730F9"/>
    <w:rsid w:val="006735D9"/>
    <w:rsid w:val="0067491D"/>
    <w:rsid w:val="0068108C"/>
    <w:rsid w:val="00683423"/>
    <w:rsid w:val="006856D1"/>
    <w:rsid w:val="00686A56"/>
    <w:rsid w:val="00687E96"/>
    <w:rsid w:val="00687EDB"/>
    <w:rsid w:val="00691E3C"/>
    <w:rsid w:val="00691EAE"/>
    <w:rsid w:val="006A1E81"/>
    <w:rsid w:val="006A23DB"/>
    <w:rsid w:val="006A72AA"/>
    <w:rsid w:val="006B2A6A"/>
    <w:rsid w:val="006B3133"/>
    <w:rsid w:val="006C5921"/>
    <w:rsid w:val="006C7414"/>
    <w:rsid w:val="006D195E"/>
    <w:rsid w:val="006D1C5D"/>
    <w:rsid w:val="006D4241"/>
    <w:rsid w:val="006D79E7"/>
    <w:rsid w:val="006E0D2F"/>
    <w:rsid w:val="006E1560"/>
    <w:rsid w:val="006E227A"/>
    <w:rsid w:val="006E448F"/>
    <w:rsid w:val="006E48EA"/>
    <w:rsid w:val="006E7460"/>
    <w:rsid w:val="006F01EF"/>
    <w:rsid w:val="006F17A7"/>
    <w:rsid w:val="006F5A00"/>
    <w:rsid w:val="00704074"/>
    <w:rsid w:val="007106E3"/>
    <w:rsid w:val="00710979"/>
    <w:rsid w:val="00711086"/>
    <w:rsid w:val="0071339D"/>
    <w:rsid w:val="00715B2C"/>
    <w:rsid w:val="00715C81"/>
    <w:rsid w:val="00716FCB"/>
    <w:rsid w:val="00721B6B"/>
    <w:rsid w:val="007236F6"/>
    <w:rsid w:val="00726C9F"/>
    <w:rsid w:val="00730816"/>
    <w:rsid w:val="00731FC1"/>
    <w:rsid w:val="007328AF"/>
    <w:rsid w:val="007342FF"/>
    <w:rsid w:val="007406DB"/>
    <w:rsid w:val="00740F5A"/>
    <w:rsid w:val="00742758"/>
    <w:rsid w:val="00747D15"/>
    <w:rsid w:val="00751E59"/>
    <w:rsid w:val="00753924"/>
    <w:rsid w:val="00754090"/>
    <w:rsid w:val="00761A0A"/>
    <w:rsid w:val="00762D5F"/>
    <w:rsid w:val="00767D48"/>
    <w:rsid w:val="00775628"/>
    <w:rsid w:val="00786338"/>
    <w:rsid w:val="00786FD7"/>
    <w:rsid w:val="00787203"/>
    <w:rsid w:val="00787776"/>
    <w:rsid w:val="007909B4"/>
    <w:rsid w:val="007A0D63"/>
    <w:rsid w:val="007A631F"/>
    <w:rsid w:val="007A6D6A"/>
    <w:rsid w:val="007B033E"/>
    <w:rsid w:val="007B1589"/>
    <w:rsid w:val="007C1784"/>
    <w:rsid w:val="007C28D8"/>
    <w:rsid w:val="007C5A89"/>
    <w:rsid w:val="007D03FD"/>
    <w:rsid w:val="007D1F1C"/>
    <w:rsid w:val="007D26A6"/>
    <w:rsid w:val="007D40F3"/>
    <w:rsid w:val="007D4FE3"/>
    <w:rsid w:val="007D6C0E"/>
    <w:rsid w:val="007E63E2"/>
    <w:rsid w:val="007F24FB"/>
    <w:rsid w:val="007F4CE5"/>
    <w:rsid w:val="007F7CE0"/>
    <w:rsid w:val="00801B84"/>
    <w:rsid w:val="008051B1"/>
    <w:rsid w:val="00811D73"/>
    <w:rsid w:val="008129BE"/>
    <w:rsid w:val="008138D9"/>
    <w:rsid w:val="00814AF1"/>
    <w:rsid w:val="008159A8"/>
    <w:rsid w:val="00816F90"/>
    <w:rsid w:val="00817AF8"/>
    <w:rsid w:val="00822AEA"/>
    <w:rsid w:val="008230B7"/>
    <w:rsid w:val="00823EC2"/>
    <w:rsid w:val="00825303"/>
    <w:rsid w:val="00826194"/>
    <w:rsid w:val="00826583"/>
    <w:rsid w:val="00830772"/>
    <w:rsid w:val="00831777"/>
    <w:rsid w:val="00833F81"/>
    <w:rsid w:val="008373D8"/>
    <w:rsid w:val="00840E1F"/>
    <w:rsid w:val="00840F8B"/>
    <w:rsid w:val="00842046"/>
    <w:rsid w:val="00842097"/>
    <w:rsid w:val="008435B5"/>
    <w:rsid w:val="008445F1"/>
    <w:rsid w:val="00860ED6"/>
    <w:rsid w:val="008624F2"/>
    <w:rsid w:val="00864D80"/>
    <w:rsid w:val="00870E6D"/>
    <w:rsid w:val="00872E1F"/>
    <w:rsid w:val="00877BDF"/>
    <w:rsid w:val="008817FD"/>
    <w:rsid w:val="0089184D"/>
    <w:rsid w:val="00894289"/>
    <w:rsid w:val="008959A0"/>
    <w:rsid w:val="008A0FCF"/>
    <w:rsid w:val="008A208C"/>
    <w:rsid w:val="008A7DA0"/>
    <w:rsid w:val="008B1D78"/>
    <w:rsid w:val="008B2759"/>
    <w:rsid w:val="008B3134"/>
    <w:rsid w:val="008B32CD"/>
    <w:rsid w:val="008B3AD4"/>
    <w:rsid w:val="008B65E3"/>
    <w:rsid w:val="008C0B99"/>
    <w:rsid w:val="008C0D18"/>
    <w:rsid w:val="008D0698"/>
    <w:rsid w:val="008D2556"/>
    <w:rsid w:val="008D26D8"/>
    <w:rsid w:val="008D45A6"/>
    <w:rsid w:val="008E031A"/>
    <w:rsid w:val="008E3076"/>
    <w:rsid w:val="008E6517"/>
    <w:rsid w:val="008E6B13"/>
    <w:rsid w:val="008F4977"/>
    <w:rsid w:val="008F4BD1"/>
    <w:rsid w:val="008F55B0"/>
    <w:rsid w:val="0090127B"/>
    <w:rsid w:val="009060C8"/>
    <w:rsid w:val="00916CB4"/>
    <w:rsid w:val="009179D0"/>
    <w:rsid w:val="00921E80"/>
    <w:rsid w:val="00922647"/>
    <w:rsid w:val="00922DD2"/>
    <w:rsid w:val="009244E5"/>
    <w:rsid w:val="00924CFD"/>
    <w:rsid w:val="00933ED5"/>
    <w:rsid w:val="009455E4"/>
    <w:rsid w:val="009457F7"/>
    <w:rsid w:val="0095215B"/>
    <w:rsid w:val="00952DF3"/>
    <w:rsid w:val="009533C2"/>
    <w:rsid w:val="00953967"/>
    <w:rsid w:val="00953D23"/>
    <w:rsid w:val="009542E9"/>
    <w:rsid w:val="009543E6"/>
    <w:rsid w:val="009563A6"/>
    <w:rsid w:val="009569B9"/>
    <w:rsid w:val="0096126D"/>
    <w:rsid w:val="00961A36"/>
    <w:rsid w:val="009621EC"/>
    <w:rsid w:val="00962DCF"/>
    <w:rsid w:val="0096453D"/>
    <w:rsid w:val="00964B48"/>
    <w:rsid w:val="00965626"/>
    <w:rsid w:val="0096632F"/>
    <w:rsid w:val="0096794F"/>
    <w:rsid w:val="00970BC4"/>
    <w:rsid w:val="00970BED"/>
    <w:rsid w:val="009724F7"/>
    <w:rsid w:val="00976CA8"/>
    <w:rsid w:val="009775C8"/>
    <w:rsid w:val="00977F6E"/>
    <w:rsid w:val="00980FFC"/>
    <w:rsid w:val="0098151D"/>
    <w:rsid w:val="0098170D"/>
    <w:rsid w:val="0098586F"/>
    <w:rsid w:val="00987B56"/>
    <w:rsid w:val="00991FFD"/>
    <w:rsid w:val="009967DF"/>
    <w:rsid w:val="00997362"/>
    <w:rsid w:val="009977AF"/>
    <w:rsid w:val="00997A6D"/>
    <w:rsid w:val="009A232A"/>
    <w:rsid w:val="009B35EC"/>
    <w:rsid w:val="009B4816"/>
    <w:rsid w:val="009B4CEE"/>
    <w:rsid w:val="009B4F88"/>
    <w:rsid w:val="009B738A"/>
    <w:rsid w:val="009D3BEB"/>
    <w:rsid w:val="009D5D4E"/>
    <w:rsid w:val="009D688C"/>
    <w:rsid w:val="009D6AC9"/>
    <w:rsid w:val="009D7CCD"/>
    <w:rsid w:val="009E0599"/>
    <w:rsid w:val="009E1EF0"/>
    <w:rsid w:val="009E333B"/>
    <w:rsid w:val="009E4301"/>
    <w:rsid w:val="00A041E6"/>
    <w:rsid w:val="00A10134"/>
    <w:rsid w:val="00A11BB1"/>
    <w:rsid w:val="00A1210B"/>
    <w:rsid w:val="00A12CC8"/>
    <w:rsid w:val="00A149C8"/>
    <w:rsid w:val="00A20B92"/>
    <w:rsid w:val="00A220B4"/>
    <w:rsid w:val="00A22302"/>
    <w:rsid w:val="00A2239B"/>
    <w:rsid w:val="00A223B7"/>
    <w:rsid w:val="00A2495C"/>
    <w:rsid w:val="00A24F9A"/>
    <w:rsid w:val="00A26797"/>
    <w:rsid w:val="00A3019A"/>
    <w:rsid w:val="00A34EEA"/>
    <w:rsid w:val="00A40A16"/>
    <w:rsid w:val="00A431EA"/>
    <w:rsid w:val="00A4698B"/>
    <w:rsid w:val="00A46DCD"/>
    <w:rsid w:val="00A519E5"/>
    <w:rsid w:val="00A61ADD"/>
    <w:rsid w:val="00A64099"/>
    <w:rsid w:val="00A65C57"/>
    <w:rsid w:val="00A6625F"/>
    <w:rsid w:val="00A66C2C"/>
    <w:rsid w:val="00A70496"/>
    <w:rsid w:val="00A71162"/>
    <w:rsid w:val="00A72334"/>
    <w:rsid w:val="00A73C64"/>
    <w:rsid w:val="00A758A6"/>
    <w:rsid w:val="00A8085A"/>
    <w:rsid w:val="00A835D6"/>
    <w:rsid w:val="00A838BD"/>
    <w:rsid w:val="00A85E48"/>
    <w:rsid w:val="00A85F5D"/>
    <w:rsid w:val="00A90379"/>
    <w:rsid w:val="00A933EB"/>
    <w:rsid w:val="00A965C0"/>
    <w:rsid w:val="00AA677C"/>
    <w:rsid w:val="00AB4548"/>
    <w:rsid w:val="00AB6846"/>
    <w:rsid w:val="00AC01C1"/>
    <w:rsid w:val="00AC0FED"/>
    <w:rsid w:val="00AC18D3"/>
    <w:rsid w:val="00AC2F2F"/>
    <w:rsid w:val="00AC53FA"/>
    <w:rsid w:val="00AD2297"/>
    <w:rsid w:val="00AD5E51"/>
    <w:rsid w:val="00AD7698"/>
    <w:rsid w:val="00AE0025"/>
    <w:rsid w:val="00AE6FD0"/>
    <w:rsid w:val="00AF0ED3"/>
    <w:rsid w:val="00AF1830"/>
    <w:rsid w:val="00AF1ED3"/>
    <w:rsid w:val="00AF2FED"/>
    <w:rsid w:val="00AF3FF5"/>
    <w:rsid w:val="00AF3FFC"/>
    <w:rsid w:val="00B0278F"/>
    <w:rsid w:val="00B07D48"/>
    <w:rsid w:val="00B10BC0"/>
    <w:rsid w:val="00B1121D"/>
    <w:rsid w:val="00B118C2"/>
    <w:rsid w:val="00B1618D"/>
    <w:rsid w:val="00B1622C"/>
    <w:rsid w:val="00B16D6D"/>
    <w:rsid w:val="00B206A3"/>
    <w:rsid w:val="00B206F3"/>
    <w:rsid w:val="00B21D25"/>
    <w:rsid w:val="00B23A18"/>
    <w:rsid w:val="00B31029"/>
    <w:rsid w:val="00B325F2"/>
    <w:rsid w:val="00B33304"/>
    <w:rsid w:val="00B33898"/>
    <w:rsid w:val="00B41BD8"/>
    <w:rsid w:val="00B41F82"/>
    <w:rsid w:val="00B45425"/>
    <w:rsid w:val="00B46CC7"/>
    <w:rsid w:val="00B4788D"/>
    <w:rsid w:val="00B47FB1"/>
    <w:rsid w:val="00B54D54"/>
    <w:rsid w:val="00B554CA"/>
    <w:rsid w:val="00B55C9E"/>
    <w:rsid w:val="00B636F4"/>
    <w:rsid w:val="00B6494A"/>
    <w:rsid w:val="00B65137"/>
    <w:rsid w:val="00B65EF3"/>
    <w:rsid w:val="00B70EF5"/>
    <w:rsid w:val="00B718F4"/>
    <w:rsid w:val="00B72388"/>
    <w:rsid w:val="00B72D03"/>
    <w:rsid w:val="00B72EA2"/>
    <w:rsid w:val="00B74E12"/>
    <w:rsid w:val="00B8057D"/>
    <w:rsid w:val="00B8231F"/>
    <w:rsid w:val="00B82828"/>
    <w:rsid w:val="00B82C05"/>
    <w:rsid w:val="00B83E38"/>
    <w:rsid w:val="00B8465C"/>
    <w:rsid w:val="00BA3F90"/>
    <w:rsid w:val="00BA4946"/>
    <w:rsid w:val="00BA7E10"/>
    <w:rsid w:val="00BB0B36"/>
    <w:rsid w:val="00BB393C"/>
    <w:rsid w:val="00BB3B4A"/>
    <w:rsid w:val="00BC2ED1"/>
    <w:rsid w:val="00BC3535"/>
    <w:rsid w:val="00BC4912"/>
    <w:rsid w:val="00BC55C1"/>
    <w:rsid w:val="00BC57F6"/>
    <w:rsid w:val="00BD048E"/>
    <w:rsid w:val="00BD04E3"/>
    <w:rsid w:val="00BD304E"/>
    <w:rsid w:val="00BE4B34"/>
    <w:rsid w:val="00BF0481"/>
    <w:rsid w:val="00BF1191"/>
    <w:rsid w:val="00BF263C"/>
    <w:rsid w:val="00BF50EA"/>
    <w:rsid w:val="00BF7416"/>
    <w:rsid w:val="00C0239F"/>
    <w:rsid w:val="00C0405B"/>
    <w:rsid w:val="00C04E3E"/>
    <w:rsid w:val="00C0558B"/>
    <w:rsid w:val="00C113C4"/>
    <w:rsid w:val="00C12283"/>
    <w:rsid w:val="00C13ADB"/>
    <w:rsid w:val="00C13F8D"/>
    <w:rsid w:val="00C14866"/>
    <w:rsid w:val="00C14C77"/>
    <w:rsid w:val="00C1683F"/>
    <w:rsid w:val="00C20F0A"/>
    <w:rsid w:val="00C25007"/>
    <w:rsid w:val="00C25077"/>
    <w:rsid w:val="00C27EF6"/>
    <w:rsid w:val="00C31705"/>
    <w:rsid w:val="00C44416"/>
    <w:rsid w:val="00C46878"/>
    <w:rsid w:val="00C52172"/>
    <w:rsid w:val="00C52DB7"/>
    <w:rsid w:val="00C534F7"/>
    <w:rsid w:val="00C56755"/>
    <w:rsid w:val="00C60C6A"/>
    <w:rsid w:val="00C62532"/>
    <w:rsid w:val="00C636E6"/>
    <w:rsid w:val="00C65CA5"/>
    <w:rsid w:val="00C720A2"/>
    <w:rsid w:val="00C72530"/>
    <w:rsid w:val="00C73984"/>
    <w:rsid w:val="00C74C82"/>
    <w:rsid w:val="00C75340"/>
    <w:rsid w:val="00C774B7"/>
    <w:rsid w:val="00C77A4D"/>
    <w:rsid w:val="00C815A2"/>
    <w:rsid w:val="00C824E4"/>
    <w:rsid w:val="00C83AD4"/>
    <w:rsid w:val="00C875E5"/>
    <w:rsid w:val="00C9189E"/>
    <w:rsid w:val="00C91DAD"/>
    <w:rsid w:val="00C94289"/>
    <w:rsid w:val="00CA29FB"/>
    <w:rsid w:val="00CA5B50"/>
    <w:rsid w:val="00CB24F9"/>
    <w:rsid w:val="00CB3C31"/>
    <w:rsid w:val="00CB3D5D"/>
    <w:rsid w:val="00CB45CB"/>
    <w:rsid w:val="00CB5698"/>
    <w:rsid w:val="00CB6AA6"/>
    <w:rsid w:val="00CB70B3"/>
    <w:rsid w:val="00CB76C5"/>
    <w:rsid w:val="00CC41D4"/>
    <w:rsid w:val="00CC49C0"/>
    <w:rsid w:val="00CD3298"/>
    <w:rsid w:val="00CD413C"/>
    <w:rsid w:val="00CD4512"/>
    <w:rsid w:val="00CD593B"/>
    <w:rsid w:val="00CD6332"/>
    <w:rsid w:val="00CD65BD"/>
    <w:rsid w:val="00CE0E43"/>
    <w:rsid w:val="00CE6676"/>
    <w:rsid w:val="00CE78A4"/>
    <w:rsid w:val="00D00037"/>
    <w:rsid w:val="00D04918"/>
    <w:rsid w:val="00D05C45"/>
    <w:rsid w:val="00D07BF9"/>
    <w:rsid w:val="00D07E82"/>
    <w:rsid w:val="00D10722"/>
    <w:rsid w:val="00D128A2"/>
    <w:rsid w:val="00D13066"/>
    <w:rsid w:val="00D13479"/>
    <w:rsid w:val="00D1439B"/>
    <w:rsid w:val="00D16638"/>
    <w:rsid w:val="00D17AB8"/>
    <w:rsid w:val="00D214F2"/>
    <w:rsid w:val="00D24593"/>
    <w:rsid w:val="00D275DD"/>
    <w:rsid w:val="00D321AE"/>
    <w:rsid w:val="00D3412B"/>
    <w:rsid w:val="00D36503"/>
    <w:rsid w:val="00D402A9"/>
    <w:rsid w:val="00D41D24"/>
    <w:rsid w:val="00D431F9"/>
    <w:rsid w:val="00D43E0D"/>
    <w:rsid w:val="00D446E1"/>
    <w:rsid w:val="00D44BAB"/>
    <w:rsid w:val="00D47607"/>
    <w:rsid w:val="00D47A4B"/>
    <w:rsid w:val="00D667E2"/>
    <w:rsid w:val="00D67C8F"/>
    <w:rsid w:val="00D67F5E"/>
    <w:rsid w:val="00D70989"/>
    <w:rsid w:val="00D72122"/>
    <w:rsid w:val="00D766E5"/>
    <w:rsid w:val="00D76828"/>
    <w:rsid w:val="00D76920"/>
    <w:rsid w:val="00D76C27"/>
    <w:rsid w:val="00D85840"/>
    <w:rsid w:val="00D9169F"/>
    <w:rsid w:val="00D92F1D"/>
    <w:rsid w:val="00D93C09"/>
    <w:rsid w:val="00D94413"/>
    <w:rsid w:val="00DA0D61"/>
    <w:rsid w:val="00DA125D"/>
    <w:rsid w:val="00DA2754"/>
    <w:rsid w:val="00DA58C5"/>
    <w:rsid w:val="00DA6C0A"/>
    <w:rsid w:val="00DA79B5"/>
    <w:rsid w:val="00DB6356"/>
    <w:rsid w:val="00DB678A"/>
    <w:rsid w:val="00DC27FB"/>
    <w:rsid w:val="00DC387D"/>
    <w:rsid w:val="00DC56E3"/>
    <w:rsid w:val="00DC5714"/>
    <w:rsid w:val="00DC5EDB"/>
    <w:rsid w:val="00DD289B"/>
    <w:rsid w:val="00DD2A62"/>
    <w:rsid w:val="00DE1B19"/>
    <w:rsid w:val="00DE5AFF"/>
    <w:rsid w:val="00DE76A4"/>
    <w:rsid w:val="00DF1902"/>
    <w:rsid w:val="00DF2A61"/>
    <w:rsid w:val="00DF5116"/>
    <w:rsid w:val="00DF5326"/>
    <w:rsid w:val="00DF5A77"/>
    <w:rsid w:val="00DF71A3"/>
    <w:rsid w:val="00E04866"/>
    <w:rsid w:val="00E069E4"/>
    <w:rsid w:val="00E07DAF"/>
    <w:rsid w:val="00E1004F"/>
    <w:rsid w:val="00E10583"/>
    <w:rsid w:val="00E107F2"/>
    <w:rsid w:val="00E109AE"/>
    <w:rsid w:val="00E11EE2"/>
    <w:rsid w:val="00E12BF3"/>
    <w:rsid w:val="00E12FFB"/>
    <w:rsid w:val="00E176F7"/>
    <w:rsid w:val="00E21545"/>
    <w:rsid w:val="00E22A74"/>
    <w:rsid w:val="00E22B1E"/>
    <w:rsid w:val="00E22CB1"/>
    <w:rsid w:val="00E254EC"/>
    <w:rsid w:val="00E2657E"/>
    <w:rsid w:val="00E30E51"/>
    <w:rsid w:val="00E310F6"/>
    <w:rsid w:val="00E31999"/>
    <w:rsid w:val="00E33076"/>
    <w:rsid w:val="00E35846"/>
    <w:rsid w:val="00E36A82"/>
    <w:rsid w:val="00E37966"/>
    <w:rsid w:val="00E402D4"/>
    <w:rsid w:val="00E41FC3"/>
    <w:rsid w:val="00E42A4B"/>
    <w:rsid w:val="00E50CB6"/>
    <w:rsid w:val="00E51099"/>
    <w:rsid w:val="00E53F4E"/>
    <w:rsid w:val="00E54DFA"/>
    <w:rsid w:val="00E56593"/>
    <w:rsid w:val="00E56A7C"/>
    <w:rsid w:val="00E62ADE"/>
    <w:rsid w:val="00E65A56"/>
    <w:rsid w:val="00E70771"/>
    <w:rsid w:val="00E73CB3"/>
    <w:rsid w:val="00E75B87"/>
    <w:rsid w:val="00E76DE1"/>
    <w:rsid w:val="00E774BD"/>
    <w:rsid w:val="00E82034"/>
    <w:rsid w:val="00E86780"/>
    <w:rsid w:val="00E878D9"/>
    <w:rsid w:val="00E92BA4"/>
    <w:rsid w:val="00E93648"/>
    <w:rsid w:val="00EA0E3C"/>
    <w:rsid w:val="00EA3745"/>
    <w:rsid w:val="00EA7EF5"/>
    <w:rsid w:val="00EB1538"/>
    <w:rsid w:val="00EB17C5"/>
    <w:rsid w:val="00EB36F7"/>
    <w:rsid w:val="00EB7102"/>
    <w:rsid w:val="00EB73F8"/>
    <w:rsid w:val="00EC3154"/>
    <w:rsid w:val="00EC38A8"/>
    <w:rsid w:val="00EC6E76"/>
    <w:rsid w:val="00EE2B27"/>
    <w:rsid w:val="00EE4990"/>
    <w:rsid w:val="00EE4F6C"/>
    <w:rsid w:val="00EF0F4C"/>
    <w:rsid w:val="00EF14B4"/>
    <w:rsid w:val="00EF17DB"/>
    <w:rsid w:val="00EF1BEB"/>
    <w:rsid w:val="00EF2872"/>
    <w:rsid w:val="00EF3EFB"/>
    <w:rsid w:val="00EF596F"/>
    <w:rsid w:val="00EF6173"/>
    <w:rsid w:val="00EF6486"/>
    <w:rsid w:val="00EF742F"/>
    <w:rsid w:val="00F0147F"/>
    <w:rsid w:val="00F13330"/>
    <w:rsid w:val="00F14AF8"/>
    <w:rsid w:val="00F16717"/>
    <w:rsid w:val="00F17187"/>
    <w:rsid w:val="00F207AA"/>
    <w:rsid w:val="00F21515"/>
    <w:rsid w:val="00F226F6"/>
    <w:rsid w:val="00F23974"/>
    <w:rsid w:val="00F24643"/>
    <w:rsid w:val="00F24D90"/>
    <w:rsid w:val="00F25C84"/>
    <w:rsid w:val="00F276AC"/>
    <w:rsid w:val="00F32101"/>
    <w:rsid w:val="00F33746"/>
    <w:rsid w:val="00F3478F"/>
    <w:rsid w:val="00F43DDA"/>
    <w:rsid w:val="00F43EB8"/>
    <w:rsid w:val="00F45C27"/>
    <w:rsid w:val="00F502EC"/>
    <w:rsid w:val="00F50F70"/>
    <w:rsid w:val="00F51779"/>
    <w:rsid w:val="00F52839"/>
    <w:rsid w:val="00F52E96"/>
    <w:rsid w:val="00F62041"/>
    <w:rsid w:val="00F65705"/>
    <w:rsid w:val="00F677B6"/>
    <w:rsid w:val="00F7284B"/>
    <w:rsid w:val="00F75379"/>
    <w:rsid w:val="00F7784E"/>
    <w:rsid w:val="00F77BFF"/>
    <w:rsid w:val="00F83024"/>
    <w:rsid w:val="00F85739"/>
    <w:rsid w:val="00F85EF9"/>
    <w:rsid w:val="00F86198"/>
    <w:rsid w:val="00F906C7"/>
    <w:rsid w:val="00F916EF"/>
    <w:rsid w:val="00F93329"/>
    <w:rsid w:val="00F96E9E"/>
    <w:rsid w:val="00FA3FD3"/>
    <w:rsid w:val="00FA4064"/>
    <w:rsid w:val="00FA47C3"/>
    <w:rsid w:val="00FA62A7"/>
    <w:rsid w:val="00FA76E1"/>
    <w:rsid w:val="00FB091B"/>
    <w:rsid w:val="00FB0F87"/>
    <w:rsid w:val="00FC2CD3"/>
    <w:rsid w:val="00FC3B0A"/>
    <w:rsid w:val="00FC61D7"/>
    <w:rsid w:val="00FC6E25"/>
    <w:rsid w:val="00FD551A"/>
    <w:rsid w:val="00FD6618"/>
    <w:rsid w:val="00FE113B"/>
    <w:rsid w:val="00FE5422"/>
    <w:rsid w:val="00FE62E1"/>
    <w:rsid w:val="00FF0715"/>
    <w:rsid w:val="00FF2AC6"/>
    <w:rsid w:val="00FF346C"/>
    <w:rsid w:val="00FF44ED"/>
    <w:rsid w:val="00FF4C6D"/>
    <w:rsid w:val="00FF77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9B5FC"/>
  <w15:docId w15:val="{2250BFED-7F69-4621-9C06-3CDA253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C5921"/>
    <w:pPr>
      <w:spacing w:before="100" w:beforeAutospacing="1" w:after="100" w:afterAutospacing="1"/>
      <w:outlineLvl w:val="1"/>
    </w:pPr>
    <w:rPr>
      <w:rFonts w:ascii="ＭＳ Ｐゴシック" w:eastAsia="ＭＳ Ｐゴシック" w:hAnsi="ＭＳ Ｐゴシック" w:cs="ＭＳ Ｐゴシック"/>
      <w:b/>
      <w:bCs/>
      <w:sz w:val="36"/>
      <w:szCs w:val="36"/>
      <w:lang w:val="en-US"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97D"/>
    <w:pPr>
      <w:autoSpaceDE w:val="0"/>
      <w:autoSpaceDN w:val="0"/>
      <w:adjustRightInd w:val="0"/>
    </w:pPr>
    <w:rPr>
      <w:rFonts w:ascii="Times New Roman" w:hAnsi="Times New Roman" w:cs="Times New Roman"/>
      <w:color w:val="000000"/>
      <w:sz w:val="24"/>
      <w:szCs w:val="24"/>
    </w:rPr>
  </w:style>
  <w:style w:type="character" w:styleId="a3">
    <w:name w:val="Hyperlink"/>
    <w:basedOn w:val="a0"/>
    <w:uiPriority w:val="99"/>
    <w:unhideWhenUsed/>
    <w:rsid w:val="00AB6846"/>
    <w:rPr>
      <w:color w:val="0000FF" w:themeColor="hyperlink"/>
      <w:u w:val="single"/>
    </w:rPr>
  </w:style>
  <w:style w:type="paragraph" w:styleId="a4">
    <w:name w:val="Balloon Text"/>
    <w:basedOn w:val="a"/>
    <w:link w:val="a5"/>
    <w:uiPriority w:val="99"/>
    <w:semiHidden/>
    <w:unhideWhenUsed/>
    <w:rsid w:val="00BD304E"/>
    <w:rPr>
      <w:rFonts w:ascii="Segoe UI" w:hAnsi="Segoe UI" w:cs="Segoe UI"/>
      <w:sz w:val="18"/>
      <w:szCs w:val="18"/>
    </w:rPr>
  </w:style>
  <w:style w:type="character" w:customStyle="1" w:styleId="a5">
    <w:name w:val="吹き出し (文字)"/>
    <w:basedOn w:val="a0"/>
    <w:link w:val="a4"/>
    <w:uiPriority w:val="99"/>
    <w:semiHidden/>
    <w:rsid w:val="00BD304E"/>
    <w:rPr>
      <w:rFonts w:ascii="Segoe UI" w:hAnsi="Segoe UI" w:cs="Segoe UI"/>
      <w:sz w:val="18"/>
      <w:szCs w:val="18"/>
    </w:rPr>
  </w:style>
  <w:style w:type="character" w:customStyle="1" w:styleId="citation-doi">
    <w:name w:val="citation-doi"/>
    <w:basedOn w:val="a0"/>
    <w:rsid w:val="00B41BD8"/>
  </w:style>
  <w:style w:type="character" w:customStyle="1" w:styleId="hgkelc">
    <w:name w:val="hgkelc"/>
    <w:basedOn w:val="a0"/>
    <w:rsid w:val="007C5A89"/>
  </w:style>
  <w:style w:type="paragraph" w:styleId="a6">
    <w:name w:val="List Paragraph"/>
    <w:basedOn w:val="a"/>
    <w:uiPriority w:val="34"/>
    <w:qFormat/>
    <w:rsid w:val="00D446E1"/>
    <w:pPr>
      <w:ind w:left="720"/>
      <w:contextualSpacing/>
    </w:pPr>
  </w:style>
  <w:style w:type="character" w:styleId="a7">
    <w:name w:val="annotation reference"/>
    <w:basedOn w:val="a0"/>
    <w:uiPriority w:val="99"/>
    <w:semiHidden/>
    <w:unhideWhenUsed/>
    <w:rsid w:val="00D76C27"/>
    <w:rPr>
      <w:sz w:val="16"/>
      <w:szCs w:val="16"/>
    </w:rPr>
  </w:style>
  <w:style w:type="paragraph" w:styleId="a8">
    <w:name w:val="annotation text"/>
    <w:basedOn w:val="a"/>
    <w:link w:val="a9"/>
    <w:uiPriority w:val="99"/>
    <w:semiHidden/>
    <w:unhideWhenUsed/>
    <w:rsid w:val="00D76C27"/>
    <w:rPr>
      <w:sz w:val="20"/>
      <w:szCs w:val="20"/>
    </w:rPr>
  </w:style>
  <w:style w:type="character" w:customStyle="1" w:styleId="a9">
    <w:name w:val="コメント文字列 (文字)"/>
    <w:basedOn w:val="a0"/>
    <w:link w:val="a8"/>
    <w:uiPriority w:val="99"/>
    <w:semiHidden/>
    <w:rsid w:val="00D76C27"/>
    <w:rPr>
      <w:sz w:val="20"/>
      <w:szCs w:val="20"/>
    </w:rPr>
  </w:style>
  <w:style w:type="paragraph" w:styleId="aa">
    <w:name w:val="annotation subject"/>
    <w:basedOn w:val="a8"/>
    <w:next w:val="a8"/>
    <w:link w:val="ab"/>
    <w:uiPriority w:val="99"/>
    <w:semiHidden/>
    <w:unhideWhenUsed/>
    <w:rsid w:val="00D76C27"/>
    <w:rPr>
      <w:b/>
      <w:bCs/>
    </w:rPr>
  </w:style>
  <w:style w:type="character" w:customStyle="1" w:styleId="ab">
    <w:name w:val="コメント内容 (文字)"/>
    <w:basedOn w:val="a9"/>
    <w:link w:val="aa"/>
    <w:uiPriority w:val="99"/>
    <w:semiHidden/>
    <w:rsid w:val="00D76C27"/>
    <w:rPr>
      <w:b/>
      <w:bCs/>
      <w:sz w:val="20"/>
      <w:szCs w:val="20"/>
    </w:rPr>
  </w:style>
  <w:style w:type="character" w:customStyle="1" w:styleId="20">
    <w:name w:val="見出し 2 (文字)"/>
    <w:basedOn w:val="a0"/>
    <w:link w:val="2"/>
    <w:uiPriority w:val="9"/>
    <w:rsid w:val="006C5921"/>
    <w:rPr>
      <w:rFonts w:ascii="ＭＳ Ｐゴシック" w:eastAsia="ＭＳ Ｐゴシック" w:hAnsi="ＭＳ Ｐゴシック" w:cs="ＭＳ Ｐゴシック"/>
      <w:b/>
      <w:bCs/>
      <w:sz w:val="36"/>
      <w:szCs w:val="36"/>
      <w:lang w:val="en-US" w:eastAsia="ja-JP"/>
    </w:rPr>
  </w:style>
  <w:style w:type="paragraph" w:styleId="Web">
    <w:name w:val="Normal (Web)"/>
    <w:basedOn w:val="a"/>
    <w:uiPriority w:val="99"/>
    <w:semiHidden/>
    <w:unhideWhenUsed/>
    <w:rsid w:val="006C5921"/>
    <w:pPr>
      <w:spacing w:before="100" w:beforeAutospacing="1" w:after="100" w:afterAutospacing="1"/>
    </w:pPr>
    <w:rPr>
      <w:rFonts w:ascii="ＭＳ Ｐゴシック" w:eastAsia="ＭＳ Ｐゴシック" w:hAnsi="ＭＳ Ｐゴシック" w:cs="ＭＳ Ｐゴシック"/>
      <w:sz w:val="24"/>
      <w:szCs w:val="24"/>
      <w:lang w:val="en-US" w:eastAsia="ja-JP"/>
    </w:rPr>
  </w:style>
  <w:style w:type="character" w:styleId="ac">
    <w:name w:val="Unresolved Mention"/>
    <w:basedOn w:val="a0"/>
    <w:uiPriority w:val="99"/>
    <w:semiHidden/>
    <w:unhideWhenUsed/>
    <w:rsid w:val="003D0994"/>
    <w:rPr>
      <w:color w:val="605E5C"/>
      <w:shd w:val="clear" w:color="auto" w:fill="E1DFDD"/>
    </w:rPr>
  </w:style>
  <w:style w:type="character" w:styleId="ad">
    <w:name w:val="FollowedHyperlink"/>
    <w:basedOn w:val="a0"/>
    <w:uiPriority w:val="99"/>
    <w:semiHidden/>
    <w:unhideWhenUsed/>
    <w:rsid w:val="00D13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72306">
      <w:bodyDiv w:val="1"/>
      <w:marLeft w:val="0"/>
      <w:marRight w:val="0"/>
      <w:marTop w:val="0"/>
      <w:marBottom w:val="0"/>
      <w:divBdr>
        <w:top w:val="none" w:sz="0" w:space="0" w:color="auto"/>
        <w:left w:val="none" w:sz="0" w:space="0" w:color="auto"/>
        <w:bottom w:val="none" w:sz="0" w:space="0" w:color="auto"/>
        <w:right w:val="none" w:sz="0" w:space="0" w:color="auto"/>
      </w:divBdr>
    </w:div>
    <w:div w:id="335504291">
      <w:bodyDiv w:val="1"/>
      <w:marLeft w:val="0"/>
      <w:marRight w:val="0"/>
      <w:marTop w:val="0"/>
      <w:marBottom w:val="0"/>
      <w:divBdr>
        <w:top w:val="none" w:sz="0" w:space="0" w:color="auto"/>
        <w:left w:val="none" w:sz="0" w:space="0" w:color="auto"/>
        <w:bottom w:val="none" w:sz="0" w:space="0" w:color="auto"/>
        <w:right w:val="none" w:sz="0" w:space="0" w:color="auto"/>
      </w:divBdr>
    </w:div>
    <w:div w:id="459611909">
      <w:bodyDiv w:val="1"/>
      <w:marLeft w:val="0"/>
      <w:marRight w:val="0"/>
      <w:marTop w:val="0"/>
      <w:marBottom w:val="0"/>
      <w:divBdr>
        <w:top w:val="none" w:sz="0" w:space="0" w:color="auto"/>
        <w:left w:val="none" w:sz="0" w:space="0" w:color="auto"/>
        <w:bottom w:val="none" w:sz="0" w:space="0" w:color="auto"/>
        <w:right w:val="none" w:sz="0" w:space="0" w:color="auto"/>
      </w:divBdr>
    </w:div>
    <w:div w:id="818501183">
      <w:bodyDiv w:val="1"/>
      <w:marLeft w:val="0"/>
      <w:marRight w:val="0"/>
      <w:marTop w:val="0"/>
      <w:marBottom w:val="0"/>
      <w:divBdr>
        <w:top w:val="none" w:sz="0" w:space="0" w:color="auto"/>
        <w:left w:val="none" w:sz="0" w:space="0" w:color="auto"/>
        <w:bottom w:val="none" w:sz="0" w:space="0" w:color="auto"/>
        <w:right w:val="none" w:sz="0" w:space="0" w:color="auto"/>
      </w:divBdr>
    </w:div>
    <w:div w:id="845441120">
      <w:bodyDiv w:val="1"/>
      <w:marLeft w:val="0"/>
      <w:marRight w:val="0"/>
      <w:marTop w:val="0"/>
      <w:marBottom w:val="0"/>
      <w:divBdr>
        <w:top w:val="none" w:sz="0" w:space="0" w:color="auto"/>
        <w:left w:val="none" w:sz="0" w:space="0" w:color="auto"/>
        <w:bottom w:val="none" w:sz="0" w:space="0" w:color="auto"/>
        <w:right w:val="none" w:sz="0" w:space="0" w:color="auto"/>
      </w:divBdr>
    </w:div>
    <w:div w:id="875123973">
      <w:bodyDiv w:val="1"/>
      <w:marLeft w:val="0"/>
      <w:marRight w:val="0"/>
      <w:marTop w:val="0"/>
      <w:marBottom w:val="0"/>
      <w:divBdr>
        <w:top w:val="none" w:sz="0" w:space="0" w:color="auto"/>
        <w:left w:val="none" w:sz="0" w:space="0" w:color="auto"/>
        <w:bottom w:val="none" w:sz="0" w:space="0" w:color="auto"/>
        <w:right w:val="none" w:sz="0" w:space="0" w:color="auto"/>
      </w:divBdr>
    </w:div>
    <w:div w:id="1216350084">
      <w:bodyDiv w:val="1"/>
      <w:marLeft w:val="0"/>
      <w:marRight w:val="0"/>
      <w:marTop w:val="0"/>
      <w:marBottom w:val="0"/>
      <w:divBdr>
        <w:top w:val="none" w:sz="0" w:space="0" w:color="auto"/>
        <w:left w:val="none" w:sz="0" w:space="0" w:color="auto"/>
        <w:bottom w:val="none" w:sz="0" w:space="0" w:color="auto"/>
        <w:right w:val="none" w:sz="0" w:space="0" w:color="auto"/>
      </w:divBdr>
    </w:div>
    <w:div w:id="1327174619">
      <w:bodyDiv w:val="1"/>
      <w:marLeft w:val="0"/>
      <w:marRight w:val="0"/>
      <w:marTop w:val="0"/>
      <w:marBottom w:val="0"/>
      <w:divBdr>
        <w:top w:val="none" w:sz="0" w:space="0" w:color="auto"/>
        <w:left w:val="none" w:sz="0" w:space="0" w:color="auto"/>
        <w:bottom w:val="none" w:sz="0" w:space="0" w:color="auto"/>
        <w:right w:val="none" w:sz="0" w:space="0" w:color="auto"/>
      </w:divBdr>
    </w:div>
    <w:div w:id="1353071131">
      <w:bodyDiv w:val="1"/>
      <w:marLeft w:val="0"/>
      <w:marRight w:val="0"/>
      <w:marTop w:val="0"/>
      <w:marBottom w:val="0"/>
      <w:divBdr>
        <w:top w:val="none" w:sz="0" w:space="0" w:color="auto"/>
        <w:left w:val="none" w:sz="0" w:space="0" w:color="auto"/>
        <w:bottom w:val="none" w:sz="0" w:space="0" w:color="auto"/>
        <w:right w:val="none" w:sz="0" w:space="0" w:color="auto"/>
      </w:divBdr>
    </w:div>
    <w:div w:id="1967078692">
      <w:bodyDiv w:val="1"/>
      <w:marLeft w:val="0"/>
      <w:marRight w:val="0"/>
      <w:marTop w:val="0"/>
      <w:marBottom w:val="0"/>
      <w:divBdr>
        <w:top w:val="none" w:sz="0" w:space="0" w:color="auto"/>
        <w:left w:val="none" w:sz="0" w:space="0" w:color="auto"/>
        <w:bottom w:val="none" w:sz="0" w:space="0" w:color="auto"/>
        <w:right w:val="none" w:sz="0" w:space="0" w:color="auto"/>
      </w:divBdr>
    </w:div>
    <w:div w:id="2057846877">
      <w:bodyDiv w:val="1"/>
      <w:marLeft w:val="0"/>
      <w:marRight w:val="0"/>
      <w:marTop w:val="0"/>
      <w:marBottom w:val="0"/>
      <w:divBdr>
        <w:top w:val="none" w:sz="0" w:space="0" w:color="auto"/>
        <w:left w:val="none" w:sz="0" w:space="0" w:color="auto"/>
        <w:bottom w:val="none" w:sz="0" w:space="0" w:color="auto"/>
        <w:right w:val="none" w:sz="0" w:space="0" w:color="auto"/>
      </w:divBdr>
    </w:div>
    <w:div w:id="21337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finder-n.cas.org/navigate/?answersPerPage=1&amp;appId=8390a8c4-deb9-4044-b98f-91567683d716&amp;externalLink=http%253A%252F%252Fdx.doi.org%252F10.1016%252Fs1470-2045(16)30375-8&amp;fullTextOption=716&amp;fullTextPresentedOptions=%5B%7B%22type%22%3A716%2C%22value%22%3Atrue%7D%2C%7B%22type%22%3A702%2C%22value%22%3Afalse%7D%5D&amp;resultType=reference&amp;state=externalLinks&amp;uiContext=697&amp;uriForDetails=document%2Fpt%2Fdocument%2F47951405"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2170</Words>
  <Characters>12372</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Bundesinstitut fuer Risikobewertung</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burgdorf</dc:creator>
  <cp:lastModifiedBy>Tanabe Shihori</cp:lastModifiedBy>
  <cp:revision>31</cp:revision>
  <dcterms:created xsi:type="dcterms:W3CDTF">2021-07-01T23:22:00Z</dcterms:created>
  <dcterms:modified xsi:type="dcterms:W3CDTF">2021-07-02T05:46:00Z</dcterms:modified>
</cp:coreProperties>
</file>