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36" w:rsidRPr="00755077" w:rsidRDefault="00755077">
      <w:pPr>
        <w:rPr>
          <w:b/>
        </w:rPr>
      </w:pPr>
      <w:proofErr w:type="gramStart"/>
      <w:r>
        <w:rPr>
          <w:b/>
        </w:rPr>
        <w:t xml:space="preserve">EAGMST review of </w:t>
      </w:r>
      <w:r w:rsidR="00C745B8" w:rsidRPr="00755077">
        <w:rPr>
          <w:b/>
        </w:rPr>
        <w:t>AOP 202.</w:t>
      </w:r>
      <w:proofErr w:type="gramEnd"/>
      <w:r w:rsidR="00C745B8" w:rsidRPr="00755077">
        <w:rPr>
          <w:b/>
        </w:rPr>
        <w:t xml:space="preserve"> </w:t>
      </w:r>
    </w:p>
    <w:p w:rsidR="00755077" w:rsidRPr="00755077" w:rsidRDefault="00C745B8">
      <w:pPr>
        <w:rPr>
          <w:i/>
        </w:rPr>
      </w:pPr>
      <w:proofErr w:type="gramStart"/>
      <w:r w:rsidRPr="00755077">
        <w:rPr>
          <w:i/>
        </w:rPr>
        <w:t>Final assessment to ensure that AOP follows protocols established in Users’ Handbook.</w:t>
      </w:r>
      <w:proofErr w:type="gramEnd"/>
    </w:p>
    <w:p w:rsidR="00C745B8" w:rsidRDefault="00755077">
      <w:r>
        <w:t xml:space="preserve">In general, the above are my suggestions. They should be </w:t>
      </w:r>
      <w:bookmarkStart w:id="0" w:name="_GoBack"/>
      <w:bookmarkEnd w:id="0"/>
      <w:r>
        <w:t xml:space="preserve">very easy for the authors to fix – it is simply a matter of shifting some information from either a KE to a KER, or to the Overall Assessment of the AOP session. </w:t>
      </w:r>
    </w:p>
    <w:p w:rsidR="00C745B8" w:rsidRDefault="00C745B8">
      <w:r>
        <w:t>Some issues to address:</w:t>
      </w:r>
    </w:p>
    <w:p w:rsidR="00C745B8" w:rsidRDefault="00C745B8" w:rsidP="00C745B8">
      <w:pPr>
        <w:pStyle w:val="ListParagraph"/>
        <w:numPr>
          <w:ilvl w:val="0"/>
          <w:numId w:val="1"/>
        </w:numPr>
      </w:pPr>
      <w:r w:rsidRPr="00755077">
        <w:rPr>
          <w:b/>
        </w:rPr>
        <w:t>Information in KE 1253 on MLL chromosome rearrangements includes extensive KER information linking this KE to its downstream AO</w:t>
      </w:r>
      <w:r>
        <w:t>.</w:t>
      </w:r>
    </w:p>
    <w:p w:rsidR="00C745B8" w:rsidRDefault="00C745B8" w:rsidP="00C745B8">
      <w:pPr>
        <w:ind w:left="360"/>
      </w:pPr>
      <w:r>
        <w:t xml:space="preserve">I am aware that this KE is very specific to infant </w:t>
      </w:r>
      <w:proofErr w:type="spellStart"/>
      <w:r>
        <w:t>leukemias</w:t>
      </w:r>
      <w:proofErr w:type="spellEnd"/>
      <w:r>
        <w:t xml:space="preserve"> thus I am willing to provide the authors with a little flexibility as they reference the downstream AO many times in this KE. However, there are large sections of this KE that </w:t>
      </w:r>
      <w:r w:rsidR="00755077">
        <w:t>are</w:t>
      </w:r>
      <w:r>
        <w:t xml:space="preserve"> actually KER description and should be moved there. </w:t>
      </w:r>
    </w:p>
    <w:p w:rsidR="00C745B8" w:rsidRDefault="00C745B8" w:rsidP="00C745B8">
      <w:r>
        <w:t xml:space="preserve">The following information is all KER information and should be shifter to </w:t>
      </w:r>
      <w:proofErr w:type="gramStart"/>
      <w:r>
        <w:t>KER :</w:t>
      </w:r>
      <w:proofErr w:type="gramEnd"/>
    </w:p>
    <w:p w:rsidR="00C745B8" w:rsidRDefault="00C745B8" w:rsidP="00C745B8">
      <w:pPr>
        <w:pStyle w:val="NormalWeb"/>
      </w:pPr>
      <w:r>
        <w:t>“</w:t>
      </w:r>
      <w:r>
        <w:t xml:space="preserve">In principle all MLL fusion genes are potential initiating drivers, although clinical studies have shown </w:t>
      </w:r>
      <w:proofErr w:type="gramStart"/>
      <w:r>
        <w:t>a preponderance</w:t>
      </w:r>
      <w:proofErr w:type="gramEnd"/>
      <w:r>
        <w:t xml:space="preserve"> with infant leukaemia for only a few of these rearrangements. For infants diagnosed with ALL, approximately 60-80% carry an MLL rearrangement (Sam et al 2012; Jansen et al 2007), with predominant fusion partners being AF4 (41%), ENL (18%), AF9 (11%) or another partner gene (10%). In particular, the fusion gene MLL-AF4 shows a specific and consistent relationship with the disease (Menendez et al., 2009): however, it has been difficult to reproduce a manifest disease resulting from this rearrangement in </w:t>
      </w:r>
      <w:r>
        <w:rPr>
          <w:rStyle w:val="Emphasis"/>
        </w:rPr>
        <w:t>in vivo</w:t>
      </w:r>
      <w:r>
        <w:t> animal models. For AML, about 30 % of the patients carry an MLL rearrangement.</w:t>
      </w:r>
    </w:p>
    <w:p w:rsidR="00C745B8" w:rsidRDefault="00C745B8" w:rsidP="00C745B8">
      <w:pPr>
        <w:pStyle w:val="NormalWeb"/>
      </w:pPr>
      <w:r>
        <w:t xml:space="preserve">The occurrence of MLL rearrangements at a very early </w:t>
      </w:r>
      <w:proofErr w:type="spellStart"/>
      <w:r>
        <w:t>fetal</w:t>
      </w:r>
      <w:proofErr w:type="spellEnd"/>
      <w:r>
        <w:t xml:space="preserve"> development is highly probable on the basis of neonatal blood spot analysis and by the high concordance rate of infant leukaemia in monozygotic twins (Ford et al 1993; Gale et al 1997; </w:t>
      </w:r>
      <w:proofErr w:type="spellStart"/>
      <w:r>
        <w:t>Sanjuan-Pla</w:t>
      </w:r>
      <w:proofErr w:type="spellEnd"/>
      <w:r>
        <w:t xml:space="preserve"> 2015). Menendez et al (2009) showed that MLL-AF4 fusion gene is present in bone marrow </w:t>
      </w:r>
      <w:proofErr w:type="spellStart"/>
      <w:r>
        <w:t>mesenchymal</w:t>
      </w:r>
      <w:proofErr w:type="spellEnd"/>
      <w:r>
        <w:t xml:space="preserve"> stem cells in infant leukaemia patients, but not in patients of childhood leukaemia, suggesting that the origin of the fusion gene is probably </w:t>
      </w:r>
      <w:proofErr w:type="spellStart"/>
      <w:r>
        <w:t>prehaematopoietic</w:t>
      </w:r>
      <w:proofErr w:type="spellEnd"/>
      <w:r>
        <w:t xml:space="preserve">. Consequently, the affected cell, the so called leukaemia-initiating cell, may be an early </w:t>
      </w:r>
      <w:proofErr w:type="spellStart"/>
      <w:r>
        <w:t>prehaematopoietic</w:t>
      </w:r>
      <w:proofErr w:type="spellEnd"/>
      <w:r>
        <w:t xml:space="preserve"> mesodermal precursor, a hematopoietic stem cell or hematopoietic progenitor cell residing mainly in the liver (Greaves 2015; </w:t>
      </w:r>
      <w:proofErr w:type="spellStart"/>
      <w:r>
        <w:t>Sanjuan-Pla</w:t>
      </w:r>
      <w:proofErr w:type="spellEnd"/>
      <w:r>
        <w:t xml:space="preserve"> et al 2015).</w:t>
      </w:r>
      <w:r>
        <w:t>”</w:t>
      </w:r>
    </w:p>
    <w:p w:rsidR="00C745B8" w:rsidRDefault="00C745B8" w:rsidP="00C745B8">
      <w:pPr>
        <w:pStyle w:val="NormalWeb"/>
      </w:pPr>
      <w:r>
        <w:t>“</w:t>
      </w:r>
      <w:r>
        <w:t xml:space="preserve">MLL translocation sites (breakpoint sequences) in the therapy-related leukaemia fall within a few base pairs of </w:t>
      </w:r>
      <w:proofErr w:type="spellStart"/>
      <w:r>
        <w:t>etoposide</w:t>
      </w:r>
      <w:proofErr w:type="spellEnd"/>
      <w:r>
        <w:t xml:space="preserve">-induced enzyme-mediated DNA cleavage site </w:t>
      </w:r>
      <w:r w:rsidRPr="00C745B8">
        <w:rPr>
          <w:highlight w:val="yellow"/>
        </w:rPr>
        <w:t>(r).</w:t>
      </w:r>
      <w:r>
        <w:t xml:space="preserve"> Although rearrangements associated with infant </w:t>
      </w:r>
      <w:proofErr w:type="spellStart"/>
      <w:r>
        <w:t>leukaemias</w:t>
      </w:r>
      <w:proofErr w:type="spellEnd"/>
      <w:r>
        <w:t xml:space="preserve"> are often more complex than those observed in treatment-related </w:t>
      </w:r>
      <w:proofErr w:type="spellStart"/>
      <w:r>
        <w:t>leukaemias</w:t>
      </w:r>
      <w:proofErr w:type="spellEnd"/>
      <w:r>
        <w:t xml:space="preserve">, many are nevertheless associated with stable </w:t>
      </w:r>
      <w:proofErr w:type="spellStart"/>
      <w:r>
        <w:t>TopoII</w:t>
      </w:r>
      <w:proofErr w:type="spellEnd"/>
      <w:r>
        <w:t>-mediated DNA cut sites. Although all these findings are indirect regarding infant leukaemia, they are nevertheless rather persuasive in this respect.</w:t>
      </w:r>
    </w:p>
    <w:p w:rsidR="00C745B8" w:rsidRDefault="00C745B8" w:rsidP="00755077">
      <w:pPr>
        <w:pStyle w:val="NormalWeb"/>
      </w:pPr>
      <w:r>
        <w:t xml:space="preserve">Growing scientific evidence, including the stable genome of the patients, suggests that infant leukaemia originates from one “big-hit” occurring during a critical developmental window of </w:t>
      </w:r>
      <w:r>
        <w:lastRenderedPageBreak/>
        <w:t>stem cell vulnerability (</w:t>
      </w:r>
      <w:proofErr w:type="spellStart"/>
      <w:r>
        <w:t>Andersson</w:t>
      </w:r>
      <w:proofErr w:type="spellEnd"/>
      <w:r>
        <w:t xml:space="preserve"> et al 2013; Greaves 2015). Therefore, the totality of evidence suggests the </w:t>
      </w:r>
      <w:r>
        <w:rPr>
          <w:rStyle w:val="Strong"/>
          <w:i/>
          <w:iCs/>
        </w:rPr>
        <w:t>essential</w:t>
      </w:r>
      <w:r>
        <w:t> role of the formation of MLL-AF4 (and other partner) fusion gene and product in causing pleiotropic effects in the affected cell and directing it to the obligatory pathway to the adverse outcome of leukaemia (</w:t>
      </w:r>
      <w:r w:rsidRPr="00C745B8">
        <w:rPr>
          <w:highlight w:val="yellow"/>
        </w:rPr>
        <w:t>see KER2</w:t>
      </w:r>
      <w:r>
        <w:t>).</w:t>
      </w:r>
      <w:r>
        <w:t>”</w:t>
      </w:r>
      <w:r>
        <w:t> </w:t>
      </w:r>
      <w:r>
        <w:t xml:space="preserve"> [</w:t>
      </w:r>
      <w:proofErr w:type="gramStart"/>
      <w:r>
        <w:t>note</w:t>
      </w:r>
      <w:proofErr w:type="gramEnd"/>
      <w:r>
        <w:t xml:space="preserve"> that authors should delete this or refer to it by the appropriate AOP wiki KER #]</w:t>
      </w:r>
    </w:p>
    <w:p w:rsidR="00C745B8" w:rsidRPr="00755077" w:rsidRDefault="003668F4" w:rsidP="003668F4">
      <w:pPr>
        <w:pStyle w:val="ListParagraph"/>
        <w:numPr>
          <w:ilvl w:val="0"/>
          <w:numId w:val="1"/>
        </w:numPr>
        <w:rPr>
          <w:b/>
        </w:rPr>
      </w:pPr>
      <w:r w:rsidRPr="00755077">
        <w:rPr>
          <w:b/>
        </w:rPr>
        <w:t>Relationship: 1634</w:t>
      </w:r>
      <w:r w:rsidRPr="00755077">
        <w:rPr>
          <w:b/>
        </w:rPr>
        <w:t xml:space="preserve">; </w:t>
      </w:r>
      <w:r w:rsidRPr="00755077">
        <w:rPr>
          <w:b/>
        </w:rPr>
        <w:t>Binding, topoisomerase II leads to DSB</w:t>
      </w:r>
    </w:p>
    <w:p w:rsidR="003668F4" w:rsidRDefault="003668F4" w:rsidP="003668F4">
      <w:pPr>
        <w:ind w:left="360"/>
      </w:pPr>
      <w:r>
        <w:t xml:space="preserve">The following should be an inconsistency or uncertainty in the section on the OVERALL ASSESSMENT OF THE AOP.  It is referring to downstream events that are not part of this KER. </w:t>
      </w:r>
    </w:p>
    <w:p w:rsidR="003668F4" w:rsidRPr="003668F4" w:rsidRDefault="00755077" w:rsidP="003668F4">
      <w:pPr>
        <w:spacing w:before="100" w:beforeAutospacing="1" w:after="100" w:afterAutospacing="1" w:line="240" w:lineRule="auto"/>
        <w:outlineLvl w:val="3"/>
        <w:rPr>
          <w:rFonts w:ascii="Times New Roman" w:eastAsia="Times New Roman" w:hAnsi="Times New Roman" w:cs="Times New Roman"/>
          <w:b/>
          <w:bCs/>
          <w:sz w:val="24"/>
          <w:szCs w:val="24"/>
          <w:lang w:eastAsia="en-CA"/>
        </w:rPr>
      </w:pPr>
      <w:r>
        <w:rPr>
          <w:rFonts w:ascii="Times New Roman" w:eastAsia="Times New Roman" w:hAnsi="Times New Roman" w:cs="Times New Roman"/>
          <w:b/>
          <w:bCs/>
          <w:sz w:val="24"/>
          <w:szCs w:val="24"/>
          <w:lang w:eastAsia="en-CA"/>
        </w:rPr>
        <w:t>“</w:t>
      </w:r>
      <w:r w:rsidR="003668F4" w:rsidRPr="003668F4">
        <w:rPr>
          <w:rFonts w:ascii="Times New Roman" w:eastAsia="Times New Roman" w:hAnsi="Times New Roman" w:cs="Times New Roman"/>
          <w:b/>
          <w:bCs/>
          <w:sz w:val="24"/>
          <w:szCs w:val="24"/>
          <w:lang w:eastAsia="en-CA"/>
        </w:rPr>
        <w:t>Un</w:t>
      </w:r>
      <w:r w:rsidR="003668F4">
        <w:rPr>
          <w:rFonts w:ascii="Times New Roman" w:eastAsia="Times New Roman" w:hAnsi="Times New Roman" w:cs="Times New Roman"/>
          <w:b/>
          <w:bCs/>
          <w:sz w:val="24"/>
          <w:szCs w:val="24"/>
          <w:lang w:eastAsia="en-CA"/>
        </w:rPr>
        <w:t>certainties and Inconsistencies</w:t>
      </w:r>
      <w:r w:rsidR="003668F4" w:rsidRPr="003668F4">
        <w:rPr>
          <w:rFonts w:ascii="Times New Roman" w:eastAsia="Times New Roman" w:hAnsi="Times New Roman" w:cs="Times New Roman"/>
          <w:b/>
          <w:bCs/>
          <w:sz w:val="24"/>
          <w:szCs w:val="24"/>
          <w:lang w:eastAsia="en-CA"/>
        </w:rPr>
        <w:t xml:space="preserve"> </w:t>
      </w:r>
    </w:p>
    <w:p w:rsidR="003668F4" w:rsidRPr="003668F4" w:rsidRDefault="003668F4" w:rsidP="003668F4">
      <w:pPr>
        <w:spacing w:before="100" w:beforeAutospacing="1" w:after="100" w:afterAutospacing="1" w:line="240" w:lineRule="auto"/>
        <w:rPr>
          <w:rFonts w:ascii="Times New Roman" w:eastAsia="Times New Roman" w:hAnsi="Times New Roman" w:cs="Times New Roman"/>
          <w:sz w:val="24"/>
          <w:szCs w:val="24"/>
          <w:lang w:eastAsia="en-CA"/>
        </w:rPr>
      </w:pPr>
      <w:r w:rsidRPr="003668F4">
        <w:rPr>
          <w:rFonts w:ascii="Times New Roman" w:eastAsia="Times New Roman" w:hAnsi="Times New Roman" w:cs="Times New Roman"/>
          <w:sz w:val="24"/>
          <w:szCs w:val="24"/>
          <w:lang w:eastAsia="en-CA"/>
        </w:rPr>
        <w:t xml:space="preserve">A prerequisite for the specific outcome, i.e. creation of chromosomal rearrangement, is that </w:t>
      </w:r>
      <w:proofErr w:type="spellStart"/>
      <w:r w:rsidRPr="003668F4">
        <w:rPr>
          <w:rFonts w:ascii="Times New Roman" w:eastAsia="Times New Roman" w:hAnsi="Times New Roman" w:cs="Times New Roman"/>
          <w:sz w:val="24"/>
          <w:szCs w:val="24"/>
          <w:lang w:eastAsia="en-CA"/>
        </w:rPr>
        <w:t>TopoII</w:t>
      </w:r>
      <w:proofErr w:type="spellEnd"/>
      <w:r w:rsidRPr="003668F4">
        <w:rPr>
          <w:rFonts w:ascii="Times New Roman" w:eastAsia="Times New Roman" w:hAnsi="Times New Roman" w:cs="Times New Roman"/>
          <w:sz w:val="24"/>
          <w:szCs w:val="24"/>
          <w:lang w:eastAsia="en-CA"/>
        </w:rPr>
        <w:t xml:space="preserve"> inhibition has to occur in an especially vulnerable and correct hot spot in the MLL locus; however, details of this process and how it happens are not clear.</w:t>
      </w:r>
      <w:r w:rsidR="00755077">
        <w:rPr>
          <w:rFonts w:ascii="Times New Roman" w:eastAsia="Times New Roman" w:hAnsi="Times New Roman" w:cs="Times New Roman"/>
          <w:sz w:val="24"/>
          <w:szCs w:val="24"/>
          <w:lang w:eastAsia="en-CA"/>
        </w:rPr>
        <w:t>”</w:t>
      </w:r>
    </w:p>
    <w:p w:rsidR="003668F4" w:rsidRPr="00B111A4" w:rsidRDefault="003668F4" w:rsidP="003668F4">
      <w:pPr>
        <w:pStyle w:val="ListParagraph"/>
        <w:numPr>
          <w:ilvl w:val="0"/>
          <w:numId w:val="1"/>
        </w:numPr>
        <w:rPr>
          <w:b/>
        </w:rPr>
      </w:pPr>
      <w:r w:rsidRPr="00B111A4">
        <w:rPr>
          <w:b/>
        </w:rPr>
        <w:t>Relationship: 1635; DSB leads to MLL translocation</w:t>
      </w:r>
    </w:p>
    <w:p w:rsidR="00B111A4" w:rsidRDefault="003668F4" w:rsidP="00B111A4">
      <w:r>
        <w:t xml:space="preserve">This KER should simply be about the evidence linking DSBs to MLL. </w:t>
      </w:r>
      <w:r w:rsidR="00B111A4">
        <w:t>The</w:t>
      </w:r>
      <w:r>
        <w:t xml:space="preserve"> authors extensively refer to infant leukemia </w:t>
      </w:r>
      <w:r w:rsidR="00B111A4">
        <w:t>and other aspects of the AOP in the preliminary text on “Evidence supporting this KER” prior to the biological plausibility section. This text is excellent support for the overall AOP, and thus I feel best moved to the Overall AOP assessment section.</w:t>
      </w:r>
    </w:p>
    <w:p w:rsidR="00B111A4" w:rsidRDefault="00B111A4" w:rsidP="00B111A4">
      <w:r>
        <w:t xml:space="preserve">This is because the text as written in this KER </w:t>
      </w:r>
      <w:r w:rsidR="002D01A2">
        <w:t>violates the princip</w:t>
      </w:r>
      <w:r>
        <w:t>le</w:t>
      </w:r>
      <w:r w:rsidR="002D01A2">
        <w:t xml:space="preserve"> of modularity and reduces ability to reuse the KER by others. </w:t>
      </w:r>
      <w:r>
        <w:t>I</w:t>
      </w:r>
      <w:r w:rsidR="002D01A2">
        <w:t>t could be that MLL translocation is very specific to infant leukemia, so this KER is less important in terms of requirements for modularity than others. Nonetheless, we have established instructions that are supposed to be adhered to and given that this AOP will serve as an example to others once endorsed, it</w:t>
      </w:r>
      <w:r>
        <w:t xml:space="preserve">’s best to make sure that it </w:t>
      </w:r>
      <w:proofErr w:type="gramStart"/>
      <w:r>
        <w:t>follow</w:t>
      </w:r>
      <w:proofErr w:type="gramEnd"/>
      <w:r>
        <w:t xml:space="preserve"> protocols.</w:t>
      </w:r>
    </w:p>
    <w:p w:rsidR="00B111A4" w:rsidRDefault="00B111A4" w:rsidP="00B111A4">
      <w:r>
        <w:t>The below is the text in the KER that I am referring to:</w:t>
      </w:r>
    </w:p>
    <w:p w:rsidR="003668F4" w:rsidRDefault="00B111A4" w:rsidP="003668F4">
      <w:pPr>
        <w:pStyle w:val="Heading3"/>
      </w:pPr>
      <w:r>
        <w:t>“</w:t>
      </w:r>
      <w:r w:rsidR="003668F4">
        <w:t xml:space="preserve">e.g., </w:t>
      </w:r>
      <w:r w:rsidR="003668F4">
        <w:t xml:space="preserve">Evidence Supporting this KER </w:t>
      </w:r>
    </w:p>
    <w:p w:rsidR="00B111A4" w:rsidRDefault="00B111A4" w:rsidP="003668F4">
      <w:r>
        <w:t xml:space="preserve">Evidence supporting the </w:t>
      </w:r>
      <w:r w:rsidRPr="00B111A4">
        <w:rPr>
          <w:highlight w:val="yellow"/>
        </w:rPr>
        <w:t xml:space="preserve">causal relationship between </w:t>
      </w:r>
      <w:proofErr w:type="spellStart"/>
      <w:r w:rsidRPr="00B111A4">
        <w:rPr>
          <w:highlight w:val="yellow"/>
        </w:rPr>
        <w:t>etoposide</w:t>
      </w:r>
      <w:proofErr w:type="spellEnd"/>
      <w:r w:rsidRPr="00B111A4">
        <w:rPr>
          <w:highlight w:val="yellow"/>
        </w:rPr>
        <w:t xml:space="preserve">-induced </w:t>
      </w:r>
      <w:proofErr w:type="spellStart"/>
      <w:r w:rsidRPr="00B111A4">
        <w:rPr>
          <w:highlight w:val="yellow"/>
        </w:rPr>
        <w:t>TopoII</w:t>
      </w:r>
      <w:proofErr w:type="spellEnd"/>
      <w:r w:rsidRPr="00B111A4">
        <w:rPr>
          <w:highlight w:val="yellow"/>
        </w:rPr>
        <w:t xml:space="preserve"> inhibition</w:t>
      </w:r>
      <w:r>
        <w:t xml:space="preserve">, DSB and the MLL rearrangement leading to the fusion gene </w:t>
      </w:r>
      <w:r w:rsidRPr="00B111A4">
        <w:rPr>
          <w:highlight w:val="yellow"/>
        </w:rPr>
        <w:t>is strong regarding treatment-related acute leukaemia</w:t>
      </w:r>
      <w:r>
        <w:t xml:space="preserve"> (*Cowell and Austin 2012; *Pendleton et al 2014). </w:t>
      </w:r>
      <w:r>
        <w:rPr>
          <w:rStyle w:val="marker"/>
        </w:rPr>
        <w:t xml:space="preserve">However, the evidence as such is indirect as it is </w:t>
      </w:r>
      <w:proofErr w:type="spellStart"/>
      <w:r>
        <w:rPr>
          <w:rStyle w:val="marker"/>
        </w:rPr>
        <w:t>occuring</w:t>
      </w:r>
      <w:proofErr w:type="spellEnd"/>
      <w:r>
        <w:rPr>
          <w:rStyle w:val="marker"/>
        </w:rPr>
        <w:t xml:space="preserve"> in an adult population and not in-utero and, although the biological plausibility should be considered strong, the empirical support remains moderate.</w:t>
      </w:r>
      <w:r>
        <w:t xml:space="preserve"> </w:t>
      </w:r>
      <w:r w:rsidRPr="00B111A4">
        <w:rPr>
          <w:highlight w:val="yellow"/>
        </w:rPr>
        <w:t xml:space="preserve">The bioflavonoid-rich diet in pregnant women has been suggested to initiate infant leukaemia by an analogous causality between in utero inhibition of </w:t>
      </w:r>
      <w:proofErr w:type="spellStart"/>
      <w:r w:rsidRPr="00B111A4">
        <w:rPr>
          <w:highlight w:val="yellow"/>
        </w:rPr>
        <w:t>TopoII</w:t>
      </w:r>
      <w:proofErr w:type="spellEnd"/>
      <w:r w:rsidRPr="00B111A4">
        <w:rPr>
          <w:highlight w:val="yellow"/>
        </w:rPr>
        <w:t xml:space="preserve"> enzymes and creation of the fusion gene</w:t>
      </w:r>
      <w:r>
        <w:t xml:space="preserve">. However, there is no direct evidence in humans and it is also difficult or impossible to study. Power of epidemiological studies is relatively weak in the case of a very rare disease and case-control or </w:t>
      </w:r>
      <w:proofErr w:type="spellStart"/>
      <w:r>
        <w:t>spatio</w:t>
      </w:r>
      <w:proofErr w:type="spellEnd"/>
      <w:r>
        <w:t>-temporal cluster studies have</w:t>
      </w:r>
      <w:proofErr w:type="gramStart"/>
      <w:r>
        <w:t>  barely</w:t>
      </w:r>
      <w:proofErr w:type="gramEnd"/>
      <w:r>
        <w:t xml:space="preserve"> suggested a causal relationship between exposures and disease. Although the empirical support for the chemical stressor </w:t>
      </w:r>
      <w:proofErr w:type="spellStart"/>
      <w:r>
        <w:t>etoposide</w:t>
      </w:r>
      <w:proofErr w:type="spellEnd"/>
      <w:r>
        <w:t xml:space="preserve"> and the metabolite </w:t>
      </w:r>
      <w:proofErr w:type="spellStart"/>
      <w:r>
        <w:t>etoposide</w:t>
      </w:r>
      <w:proofErr w:type="spellEnd"/>
      <w:r>
        <w:t xml:space="preserve"> </w:t>
      </w:r>
      <w:proofErr w:type="spellStart"/>
      <w:r>
        <w:t>quinone</w:t>
      </w:r>
      <w:proofErr w:type="spellEnd"/>
      <w:r>
        <w:t xml:space="preserve"> should be considered strong, this still remains a limitation for the overall </w:t>
      </w:r>
      <w:proofErr w:type="spellStart"/>
      <w:r>
        <w:t>s</w:t>
      </w:r>
      <w:r w:rsidRPr="00B111A4">
        <w:rPr>
          <w:highlight w:val="magenta"/>
        </w:rPr>
        <w:t>trenght</w:t>
      </w:r>
      <w:proofErr w:type="spellEnd"/>
      <w:r>
        <w:t xml:space="preserve"> of the weight of evidence for the empirical </w:t>
      </w:r>
      <w:r>
        <w:lastRenderedPageBreak/>
        <w:t xml:space="preserve">support. However, the biological plausibility linking </w:t>
      </w:r>
      <w:proofErr w:type="spellStart"/>
      <w:r>
        <w:t>topoII</w:t>
      </w:r>
      <w:proofErr w:type="spellEnd"/>
      <w:r>
        <w:t xml:space="preserve"> poisons to MLL rearrangements, </w:t>
      </w:r>
      <w:r w:rsidRPr="00755077">
        <w:rPr>
          <w:highlight w:val="yellow"/>
        </w:rPr>
        <w:t xml:space="preserve">when </w:t>
      </w:r>
      <w:proofErr w:type="spellStart"/>
      <w:r w:rsidRPr="00755077">
        <w:rPr>
          <w:highlight w:val="yellow"/>
        </w:rPr>
        <w:t>occuring</w:t>
      </w:r>
      <w:proofErr w:type="spellEnd"/>
      <w:r w:rsidRPr="00755077">
        <w:rPr>
          <w:highlight w:val="yellow"/>
        </w:rPr>
        <w:t xml:space="preserve"> in-utero in the </w:t>
      </w:r>
      <w:proofErr w:type="spellStart"/>
      <w:r w:rsidRPr="00755077">
        <w:rPr>
          <w:highlight w:val="yellow"/>
        </w:rPr>
        <w:t>appropiate</w:t>
      </w:r>
      <w:proofErr w:type="spellEnd"/>
      <w:r w:rsidRPr="00755077">
        <w:rPr>
          <w:highlight w:val="yellow"/>
        </w:rPr>
        <w:t xml:space="preserve"> cell population </w:t>
      </w:r>
      <w:proofErr w:type="spellStart"/>
      <w:r w:rsidRPr="00755077">
        <w:rPr>
          <w:highlight w:val="yellow"/>
        </w:rPr>
        <w:t>ie</w:t>
      </w:r>
      <w:proofErr w:type="spellEnd"/>
      <w:r w:rsidRPr="00755077">
        <w:rPr>
          <w:highlight w:val="yellow"/>
        </w:rPr>
        <w:t xml:space="preserve">. </w:t>
      </w:r>
      <w:proofErr w:type="spellStart"/>
      <w:proofErr w:type="gramStart"/>
      <w:r w:rsidRPr="00755077">
        <w:rPr>
          <w:highlight w:val="yellow"/>
        </w:rPr>
        <w:t>prehematopoietic</w:t>
      </w:r>
      <w:proofErr w:type="spellEnd"/>
      <w:proofErr w:type="gramEnd"/>
      <w:r w:rsidRPr="00755077">
        <w:rPr>
          <w:highlight w:val="yellow"/>
        </w:rPr>
        <w:t xml:space="preserve"> stem cell is strong, making the overall weight of evidence for this KER as strong.</w:t>
      </w:r>
      <w:r w:rsidRPr="00755077">
        <w:rPr>
          <w:highlight w:val="yellow"/>
        </w:rPr>
        <w:t>”</w:t>
      </w:r>
    </w:p>
    <w:p w:rsidR="00B111A4" w:rsidRPr="00755077" w:rsidRDefault="00B111A4" w:rsidP="003668F4">
      <w:pPr>
        <w:rPr>
          <w:b/>
        </w:rPr>
      </w:pPr>
      <w:r w:rsidRPr="00755077">
        <w:rPr>
          <w:b/>
        </w:rPr>
        <w:t>Under ‘empirical evidence’ – I am not sure why the below text is in this KER and not the KER leading from MLL translocation to leukemia:</w:t>
      </w:r>
    </w:p>
    <w:p w:rsidR="00B111A4" w:rsidRDefault="00B111A4" w:rsidP="003668F4">
      <w:r>
        <w:t>“</w:t>
      </w:r>
      <w:r>
        <w:t>There are animal models for infant leukaemia which recapitulate at least some salient aspects of the disease (</w:t>
      </w:r>
      <w:proofErr w:type="spellStart"/>
      <w:r>
        <w:t>Sanjuan-Pla</w:t>
      </w:r>
      <w:proofErr w:type="spellEnd"/>
      <w:r>
        <w:t xml:space="preserve"> et al 2015). However, for example the MLL-AF4 knock-in mice develop leukaemia only after a prolonged latency (Chen et al 2006), thus not recapitulating the ‘pathognomonic’ feature of infant leukaemia.</w:t>
      </w:r>
      <w:r>
        <w:t>”</w:t>
      </w:r>
    </w:p>
    <w:p w:rsidR="00B111A4" w:rsidRDefault="00B111A4" w:rsidP="003668F4">
      <w:r>
        <w:t xml:space="preserve">These sections in uncertainties and inconsistencies relate to </w:t>
      </w:r>
      <w:r w:rsidR="00755077">
        <w:t>leukemia rather than MLL fusion. I think they would be better placed in the overall AOP assessment section:</w:t>
      </w:r>
    </w:p>
    <w:p w:rsidR="00755077" w:rsidRDefault="00755077" w:rsidP="00755077">
      <w:pPr>
        <w:pStyle w:val="NormalWeb"/>
      </w:pPr>
      <w:r>
        <w:t>“</w:t>
      </w:r>
      <w:r>
        <w:t xml:space="preserve">In-utero </w:t>
      </w:r>
      <w:proofErr w:type="spellStart"/>
      <w:r>
        <w:t>etoposide</w:t>
      </w:r>
      <w:proofErr w:type="spellEnd"/>
      <w:r>
        <w:t xml:space="preserve">-treatment failed to induce </w:t>
      </w:r>
      <w:proofErr w:type="spellStart"/>
      <w:r>
        <w:t>leukaemogenesis</w:t>
      </w:r>
      <w:proofErr w:type="spellEnd"/>
      <w:r>
        <w:t xml:space="preserve"> (</w:t>
      </w:r>
      <w:proofErr w:type="spellStart"/>
      <w:r>
        <w:t>Nanya</w:t>
      </w:r>
      <w:proofErr w:type="spellEnd"/>
      <w:r>
        <w:t xml:space="preserve"> et al 2015). Consequently, the envisaged linkage has not been empirically supported or rejected. However, it should be kept in mind that, whereas </w:t>
      </w:r>
      <w:proofErr w:type="spellStart"/>
      <w:r>
        <w:t>etoposide</w:t>
      </w:r>
      <w:proofErr w:type="spellEnd"/>
      <w:r>
        <w:t xml:space="preserve"> does induce a large number of MLL rearrangements, most of them occur within non-coding regions, therefore not eliciting any direct oncogenic consequence. A  MLL-AF4 in frame fusion is a rare event that needs to occur in a target cell within a relatively small and spatially restricted cell population during the appropriate, epigenetically plastic, developmental window; thus it may be difficult to empirically support this process.</w:t>
      </w:r>
    </w:p>
    <w:p w:rsidR="003668F4" w:rsidRDefault="00755077" w:rsidP="00755077">
      <w:pPr>
        <w:pStyle w:val="NormalWeb"/>
      </w:pPr>
      <w:r>
        <w:t xml:space="preserve">·         Dose-response relationships between </w:t>
      </w:r>
      <w:proofErr w:type="spellStart"/>
      <w:r>
        <w:t>etoposide</w:t>
      </w:r>
      <w:proofErr w:type="spellEnd"/>
      <w:r>
        <w:t xml:space="preserve"> and treatment-related leukaemia are difficult to unravel, but risk of leukaemia seems to increase with larger total exposure to </w:t>
      </w:r>
      <w:proofErr w:type="spellStart"/>
      <w:r>
        <w:t>etoposide</w:t>
      </w:r>
      <w:proofErr w:type="spellEnd"/>
      <w:r>
        <w:t xml:space="preserve">. However, comparison of exposures or kinetics of </w:t>
      </w:r>
      <w:proofErr w:type="spellStart"/>
      <w:r>
        <w:t>etoposide</w:t>
      </w:r>
      <w:proofErr w:type="spellEnd"/>
      <w:r>
        <w:t xml:space="preserve"> between leukaemia patients and non-leukemic treated subjects did not reveal any significant differences (</w:t>
      </w:r>
      <w:proofErr w:type="spellStart"/>
      <w:r>
        <w:t>Relling</w:t>
      </w:r>
      <w:proofErr w:type="spellEnd"/>
      <w:r>
        <w:t xml:space="preserve"> et al 1998). Also, it is not known whether the </w:t>
      </w:r>
      <w:proofErr w:type="spellStart"/>
      <w:r>
        <w:t>etoposide</w:t>
      </w:r>
      <w:proofErr w:type="spellEnd"/>
      <w:r>
        <w:t xml:space="preserve"> (or metabolite) concentrations during the treatment are of significance. In child and adult chemotherapy, concentrations are extremely variable between individuals; the lowest through plasma concentrations of </w:t>
      </w:r>
      <w:proofErr w:type="spellStart"/>
      <w:r>
        <w:t>etoposide</w:t>
      </w:r>
      <w:proofErr w:type="spellEnd"/>
      <w:r>
        <w:t xml:space="preserve"> have been of the order of 1 µM and peak concentrations very much higher. For example, in a study of </w:t>
      </w:r>
      <w:proofErr w:type="spellStart"/>
      <w:r>
        <w:t>Relling</w:t>
      </w:r>
      <w:proofErr w:type="spellEnd"/>
      <w:r>
        <w:t xml:space="preserve"> et al (1998), the maximum plasma concentration of </w:t>
      </w:r>
      <w:proofErr w:type="spellStart"/>
      <w:r>
        <w:t>etoposide</w:t>
      </w:r>
      <w:proofErr w:type="spellEnd"/>
      <w:r>
        <w:t xml:space="preserve"> was about 90 µM and that of </w:t>
      </w:r>
      <w:proofErr w:type="spellStart"/>
      <w:r>
        <w:t>etoposide</w:t>
      </w:r>
      <w:proofErr w:type="spellEnd"/>
      <w:r>
        <w:t xml:space="preserve"> catechol about 100-times less, below 1 µM. In another high dose chemotherapy study (</w:t>
      </w:r>
      <w:proofErr w:type="spellStart"/>
      <w:r>
        <w:t>Stremetzne</w:t>
      </w:r>
      <w:proofErr w:type="spellEnd"/>
      <w:r>
        <w:t xml:space="preserve"> et al 1997), the </w:t>
      </w:r>
      <w:proofErr w:type="spellStart"/>
      <w:r>
        <w:t>etoposide</w:t>
      </w:r>
      <w:proofErr w:type="spellEnd"/>
      <w:r>
        <w:t xml:space="preserve"> concentration was 170 µM and that of the catechol metabolite 5.8 µM maximally. However, it is not straightforward to juxtapose plasma concentrations and the tissue or cell concentration which </w:t>
      </w:r>
      <w:proofErr w:type="spellStart"/>
      <w:r>
        <w:t>TopoII</w:t>
      </w:r>
      <w:proofErr w:type="spellEnd"/>
      <w:r>
        <w:t xml:space="preserve"> enzyme ’sees’. Penetration of </w:t>
      </w:r>
      <w:proofErr w:type="spellStart"/>
      <w:r>
        <w:t>etoposide</w:t>
      </w:r>
      <w:proofErr w:type="spellEnd"/>
      <w:r>
        <w:t xml:space="preserve"> or its metabolite through plasma membrane is probably rather slow and it has been shown that the brain cancer tissue (metastasis or </w:t>
      </w:r>
      <w:proofErr w:type="spellStart"/>
      <w:r>
        <w:t>glioma</w:t>
      </w:r>
      <w:proofErr w:type="spellEnd"/>
      <w:r>
        <w:t xml:space="preserve">) to plasma ratio for </w:t>
      </w:r>
      <w:proofErr w:type="spellStart"/>
      <w:r>
        <w:t>etoposide</w:t>
      </w:r>
      <w:proofErr w:type="spellEnd"/>
      <w:r>
        <w:t xml:space="preserve"> is only 0.1 (</w:t>
      </w:r>
      <w:proofErr w:type="spellStart"/>
      <w:r>
        <w:t>Pitz</w:t>
      </w:r>
      <w:proofErr w:type="spellEnd"/>
      <w:r>
        <w:t xml:space="preserve"> et al 2011). Blood-brain barrier is not necessarily a good model for cross-membrane distribution, but may give some idea about the general distributional behaviour of a drug. Even if the active target concentration of </w:t>
      </w:r>
      <w:proofErr w:type="spellStart"/>
      <w:r>
        <w:t>etoposide</w:t>
      </w:r>
      <w:proofErr w:type="spellEnd"/>
      <w:r>
        <w:t xml:space="preserve"> is only 10 % of the plasma concentration, it is still in the same range as the effective concentrations in cellular studies (see above). A final note on relevant concentrations: </w:t>
      </w:r>
      <w:proofErr w:type="spellStart"/>
      <w:r>
        <w:t>etoposide</w:t>
      </w:r>
      <w:proofErr w:type="spellEnd"/>
      <w:r>
        <w:t xml:space="preserve"> concentrations resulting in DSB and fusion gene are probably within a relatively restricted range. The concentration resulting in a proper fusion gene should be </w:t>
      </w:r>
      <w:r>
        <w:lastRenderedPageBreak/>
        <w:t>in a range which gives rise to a partially repaired insult and cells bypassing death and</w:t>
      </w:r>
      <w:r>
        <w:t xml:space="preserve"> accumulating the abnormality.”</w:t>
      </w:r>
    </w:p>
    <w:p w:rsidR="003668F4" w:rsidRDefault="003668F4" w:rsidP="003668F4">
      <w:pPr>
        <w:pStyle w:val="ListParagraph"/>
      </w:pPr>
    </w:p>
    <w:p w:rsidR="003668F4" w:rsidRDefault="003668F4" w:rsidP="003668F4">
      <w:pPr>
        <w:pStyle w:val="ListParagraph"/>
      </w:pPr>
    </w:p>
    <w:p w:rsidR="003668F4" w:rsidRDefault="003668F4" w:rsidP="003668F4">
      <w:pPr>
        <w:pStyle w:val="ListParagraph"/>
      </w:pPr>
    </w:p>
    <w:p w:rsidR="003668F4" w:rsidRDefault="003668F4" w:rsidP="003668F4"/>
    <w:sectPr w:rsidR="003668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C26A3"/>
    <w:multiLevelType w:val="hybridMultilevel"/>
    <w:tmpl w:val="FAB6A5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D9D3EA3"/>
    <w:multiLevelType w:val="hybridMultilevel"/>
    <w:tmpl w:val="FAB6A5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B8"/>
    <w:rsid w:val="002D01A2"/>
    <w:rsid w:val="003668F4"/>
    <w:rsid w:val="003F19EC"/>
    <w:rsid w:val="00755077"/>
    <w:rsid w:val="00B111A4"/>
    <w:rsid w:val="00C745B8"/>
    <w:rsid w:val="00FA71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668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668F4"/>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B8"/>
    <w:pPr>
      <w:ind w:left="720"/>
      <w:contextualSpacing/>
    </w:pPr>
  </w:style>
  <w:style w:type="paragraph" w:styleId="NormalWeb">
    <w:name w:val="Normal (Web)"/>
    <w:basedOn w:val="Normal"/>
    <w:uiPriority w:val="99"/>
    <w:unhideWhenUsed/>
    <w:rsid w:val="00C745B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C745B8"/>
    <w:rPr>
      <w:i/>
      <w:iCs/>
    </w:rPr>
  </w:style>
  <w:style w:type="character" w:styleId="Strong">
    <w:name w:val="Strong"/>
    <w:basedOn w:val="DefaultParagraphFont"/>
    <w:uiPriority w:val="22"/>
    <w:qFormat/>
    <w:rsid w:val="00C745B8"/>
    <w:rPr>
      <w:b/>
      <w:bCs/>
    </w:rPr>
  </w:style>
  <w:style w:type="character" w:customStyle="1" w:styleId="Heading4Char">
    <w:name w:val="Heading 4 Char"/>
    <w:basedOn w:val="DefaultParagraphFont"/>
    <w:link w:val="Heading4"/>
    <w:uiPriority w:val="9"/>
    <w:rsid w:val="003668F4"/>
    <w:rPr>
      <w:rFonts w:ascii="Times New Roman" w:eastAsia="Times New Roman" w:hAnsi="Times New Roman" w:cs="Times New Roman"/>
      <w:b/>
      <w:bCs/>
      <w:sz w:val="24"/>
      <w:szCs w:val="24"/>
      <w:lang w:eastAsia="en-CA"/>
    </w:rPr>
  </w:style>
  <w:style w:type="paragraph" w:customStyle="1" w:styleId="target">
    <w:name w:val="target"/>
    <w:basedOn w:val="Normal"/>
    <w:rsid w:val="003668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ircle">
    <w:name w:val="circle"/>
    <w:basedOn w:val="DefaultParagraphFont"/>
    <w:rsid w:val="003668F4"/>
  </w:style>
  <w:style w:type="character" w:styleId="Hyperlink">
    <w:name w:val="Hyperlink"/>
    <w:basedOn w:val="DefaultParagraphFont"/>
    <w:uiPriority w:val="99"/>
    <w:semiHidden/>
    <w:unhideWhenUsed/>
    <w:rsid w:val="003668F4"/>
    <w:rPr>
      <w:color w:val="0000FF"/>
      <w:u w:val="single"/>
    </w:rPr>
  </w:style>
  <w:style w:type="character" w:customStyle="1" w:styleId="Heading3Char">
    <w:name w:val="Heading 3 Char"/>
    <w:basedOn w:val="DefaultParagraphFont"/>
    <w:link w:val="Heading3"/>
    <w:uiPriority w:val="9"/>
    <w:semiHidden/>
    <w:rsid w:val="003668F4"/>
    <w:rPr>
      <w:rFonts w:asciiTheme="majorHAnsi" w:eastAsiaTheme="majorEastAsia" w:hAnsiTheme="majorHAnsi" w:cstheme="majorBidi"/>
      <w:b/>
      <w:bCs/>
      <w:color w:val="4F81BD" w:themeColor="accent1"/>
    </w:rPr>
  </w:style>
  <w:style w:type="character" w:customStyle="1" w:styleId="marker">
    <w:name w:val="marker"/>
    <w:basedOn w:val="DefaultParagraphFont"/>
    <w:rsid w:val="00B111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668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668F4"/>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B8"/>
    <w:pPr>
      <w:ind w:left="720"/>
      <w:contextualSpacing/>
    </w:pPr>
  </w:style>
  <w:style w:type="paragraph" w:styleId="NormalWeb">
    <w:name w:val="Normal (Web)"/>
    <w:basedOn w:val="Normal"/>
    <w:uiPriority w:val="99"/>
    <w:unhideWhenUsed/>
    <w:rsid w:val="00C745B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C745B8"/>
    <w:rPr>
      <w:i/>
      <w:iCs/>
    </w:rPr>
  </w:style>
  <w:style w:type="character" w:styleId="Strong">
    <w:name w:val="Strong"/>
    <w:basedOn w:val="DefaultParagraphFont"/>
    <w:uiPriority w:val="22"/>
    <w:qFormat/>
    <w:rsid w:val="00C745B8"/>
    <w:rPr>
      <w:b/>
      <w:bCs/>
    </w:rPr>
  </w:style>
  <w:style w:type="character" w:customStyle="1" w:styleId="Heading4Char">
    <w:name w:val="Heading 4 Char"/>
    <w:basedOn w:val="DefaultParagraphFont"/>
    <w:link w:val="Heading4"/>
    <w:uiPriority w:val="9"/>
    <w:rsid w:val="003668F4"/>
    <w:rPr>
      <w:rFonts w:ascii="Times New Roman" w:eastAsia="Times New Roman" w:hAnsi="Times New Roman" w:cs="Times New Roman"/>
      <w:b/>
      <w:bCs/>
      <w:sz w:val="24"/>
      <w:szCs w:val="24"/>
      <w:lang w:eastAsia="en-CA"/>
    </w:rPr>
  </w:style>
  <w:style w:type="paragraph" w:customStyle="1" w:styleId="target">
    <w:name w:val="target"/>
    <w:basedOn w:val="Normal"/>
    <w:rsid w:val="003668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ircle">
    <w:name w:val="circle"/>
    <w:basedOn w:val="DefaultParagraphFont"/>
    <w:rsid w:val="003668F4"/>
  </w:style>
  <w:style w:type="character" w:styleId="Hyperlink">
    <w:name w:val="Hyperlink"/>
    <w:basedOn w:val="DefaultParagraphFont"/>
    <w:uiPriority w:val="99"/>
    <w:semiHidden/>
    <w:unhideWhenUsed/>
    <w:rsid w:val="003668F4"/>
    <w:rPr>
      <w:color w:val="0000FF"/>
      <w:u w:val="single"/>
    </w:rPr>
  </w:style>
  <w:style w:type="character" w:customStyle="1" w:styleId="Heading3Char">
    <w:name w:val="Heading 3 Char"/>
    <w:basedOn w:val="DefaultParagraphFont"/>
    <w:link w:val="Heading3"/>
    <w:uiPriority w:val="9"/>
    <w:semiHidden/>
    <w:rsid w:val="003668F4"/>
    <w:rPr>
      <w:rFonts w:asciiTheme="majorHAnsi" w:eastAsiaTheme="majorEastAsia" w:hAnsiTheme="majorHAnsi" w:cstheme="majorBidi"/>
      <w:b/>
      <w:bCs/>
      <w:color w:val="4F81BD" w:themeColor="accent1"/>
    </w:rPr>
  </w:style>
  <w:style w:type="character" w:customStyle="1" w:styleId="marker">
    <w:name w:val="marker"/>
    <w:basedOn w:val="DefaultParagraphFont"/>
    <w:rsid w:val="00B1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71261">
      <w:bodyDiv w:val="1"/>
      <w:marLeft w:val="0"/>
      <w:marRight w:val="0"/>
      <w:marTop w:val="0"/>
      <w:marBottom w:val="0"/>
      <w:divBdr>
        <w:top w:val="none" w:sz="0" w:space="0" w:color="auto"/>
        <w:left w:val="none" w:sz="0" w:space="0" w:color="auto"/>
        <w:bottom w:val="none" w:sz="0" w:space="0" w:color="auto"/>
        <w:right w:val="none" w:sz="0" w:space="0" w:color="auto"/>
      </w:divBdr>
    </w:div>
    <w:div w:id="477695675">
      <w:bodyDiv w:val="1"/>
      <w:marLeft w:val="0"/>
      <w:marRight w:val="0"/>
      <w:marTop w:val="0"/>
      <w:marBottom w:val="0"/>
      <w:divBdr>
        <w:top w:val="none" w:sz="0" w:space="0" w:color="auto"/>
        <w:left w:val="none" w:sz="0" w:space="0" w:color="auto"/>
        <w:bottom w:val="none" w:sz="0" w:space="0" w:color="auto"/>
        <w:right w:val="none" w:sz="0" w:space="0" w:color="auto"/>
      </w:divBdr>
    </w:div>
    <w:div w:id="608048805">
      <w:bodyDiv w:val="1"/>
      <w:marLeft w:val="0"/>
      <w:marRight w:val="0"/>
      <w:marTop w:val="0"/>
      <w:marBottom w:val="0"/>
      <w:divBdr>
        <w:top w:val="none" w:sz="0" w:space="0" w:color="auto"/>
        <w:left w:val="none" w:sz="0" w:space="0" w:color="auto"/>
        <w:bottom w:val="none" w:sz="0" w:space="0" w:color="auto"/>
        <w:right w:val="none" w:sz="0" w:space="0" w:color="auto"/>
      </w:divBdr>
    </w:div>
    <w:div w:id="682976896">
      <w:bodyDiv w:val="1"/>
      <w:marLeft w:val="0"/>
      <w:marRight w:val="0"/>
      <w:marTop w:val="0"/>
      <w:marBottom w:val="0"/>
      <w:divBdr>
        <w:top w:val="none" w:sz="0" w:space="0" w:color="auto"/>
        <w:left w:val="none" w:sz="0" w:space="0" w:color="auto"/>
        <w:bottom w:val="none" w:sz="0" w:space="0" w:color="auto"/>
        <w:right w:val="none" w:sz="0" w:space="0" w:color="auto"/>
      </w:divBdr>
      <w:divsChild>
        <w:div w:id="288166140">
          <w:marLeft w:val="0"/>
          <w:marRight w:val="0"/>
          <w:marTop w:val="0"/>
          <w:marBottom w:val="0"/>
          <w:divBdr>
            <w:top w:val="none" w:sz="0" w:space="0" w:color="auto"/>
            <w:left w:val="none" w:sz="0" w:space="0" w:color="auto"/>
            <w:bottom w:val="none" w:sz="0" w:space="0" w:color="auto"/>
            <w:right w:val="none" w:sz="0" w:space="0" w:color="auto"/>
          </w:divBdr>
        </w:div>
      </w:divsChild>
    </w:div>
    <w:div w:id="1025709893">
      <w:bodyDiv w:val="1"/>
      <w:marLeft w:val="0"/>
      <w:marRight w:val="0"/>
      <w:marTop w:val="0"/>
      <w:marBottom w:val="0"/>
      <w:divBdr>
        <w:top w:val="none" w:sz="0" w:space="0" w:color="auto"/>
        <w:left w:val="none" w:sz="0" w:space="0" w:color="auto"/>
        <w:bottom w:val="none" w:sz="0" w:space="0" w:color="auto"/>
        <w:right w:val="none" w:sz="0" w:space="0" w:color="auto"/>
      </w:divBdr>
    </w:div>
    <w:div w:id="163644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Yauk</dc:creator>
  <cp:lastModifiedBy>Carole Yauk</cp:lastModifiedBy>
  <cp:revision>1</cp:revision>
  <dcterms:created xsi:type="dcterms:W3CDTF">2018-12-20T22:49:00Z</dcterms:created>
  <dcterms:modified xsi:type="dcterms:W3CDTF">2018-12-20T23:50:00Z</dcterms:modified>
</cp:coreProperties>
</file>