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1FE6F" w14:textId="77777777" w:rsidR="001037B6" w:rsidRPr="001037B6" w:rsidRDefault="001037B6" w:rsidP="001037B6">
      <w:pPr>
        <w:jc w:val="center"/>
        <w:rPr>
          <w:b/>
        </w:rPr>
      </w:pPr>
      <w:r w:rsidRPr="001037B6">
        <w:rPr>
          <w:b/>
        </w:rPr>
        <w:t>EAGMST approval request</w:t>
      </w:r>
    </w:p>
    <w:p w14:paraId="251AB0DB" w14:textId="77777777" w:rsidR="001037B6" w:rsidRPr="001037B6" w:rsidRDefault="001037B6" w:rsidP="001037B6">
      <w:pPr>
        <w:jc w:val="center"/>
        <w:rPr>
          <w:b/>
        </w:rPr>
      </w:pPr>
      <w:r w:rsidRPr="001037B6">
        <w:rPr>
          <w:b/>
        </w:rPr>
        <w:t>AOP 263: Uncoupling of oxidative phosphorylation leading to growth inhibition via decreased cell proliferation</w:t>
      </w:r>
    </w:p>
    <w:p w14:paraId="0BFF94CF" w14:textId="77777777" w:rsidR="001037B6" w:rsidRPr="001037B6" w:rsidRDefault="001037B6" w:rsidP="001037B6">
      <w:pPr>
        <w:jc w:val="center"/>
        <w:rPr>
          <w:b/>
        </w:rPr>
      </w:pPr>
      <w:r w:rsidRPr="001037B6">
        <w:rPr>
          <w:b/>
        </w:rPr>
        <w:t>Deadline for comments: 22 October 2021</w:t>
      </w:r>
    </w:p>
    <w:p w14:paraId="66FC751B" w14:textId="77777777" w:rsidR="001037B6" w:rsidRDefault="001037B6">
      <w:r>
        <w:t>One set of comments was received, from Tim Gant, UK</w:t>
      </w:r>
    </w:p>
    <w:p w14:paraId="7E257794" w14:textId="77777777" w:rsidR="001037B6" w:rsidRDefault="001037B6"/>
    <w:p w14:paraId="7E6962BF" w14:textId="77777777" w:rsidR="001037B6" w:rsidRDefault="001037B6" w:rsidP="001037B6">
      <w:r>
        <w:t>I am content to support AOP263 which I consider an important addition to the AOP library with one comment for consideration by the authors and one general comment for EAGMST.</w:t>
      </w:r>
    </w:p>
    <w:p w14:paraId="2BFE2E80" w14:textId="77777777" w:rsidR="001037B6" w:rsidRDefault="001037B6" w:rsidP="001037B6">
      <w:r>
        <w:t>There is a quantitative section in this submission (263) which states:</w:t>
      </w:r>
    </w:p>
    <w:p w14:paraId="514ABABE" w14:textId="77777777" w:rsidR="001037B6" w:rsidRDefault="001037B6" w:rsidP="001037B6">
      <w:pPr>
        <w:rPr>
          <w:i/>
          <w:iCs/>
        </w:rPr>
      </w:pPr>
      <w:r>
        <w:rPr>
          <w:i/>
          <w:iCs/>
        </w:rPr>
        <w:t xml:space="preserve">'It has also been suggested that a threshold of ATP depletion (85-90% reduction compared to normal status) may exist to determine whether proliferation arrest (&lt;85-90%) or cell death (&gt;85-90%) will be triggered in mammals (Nieminen 1994).' </w:t>
      </w:r>
    </w:p>
    <w:p w14:paraId="3AEAE77C" w14:textId="77777777" w:rsidR="001037B6" w:rsidRDefault="001037B6" w:rsidP="001037B6">
      <w:r>
        <w:t xml:space="preserve">This statement (with only one reference) links the KE1 to the Adverse Outcome in a quantitative manner but no linkage is provided to the MIE. Furthermore it is not clear if the ATP depletion (which could occur by events other than uncoupling) is a quantitative biomarker of the AOP. </w:t>
      </w:r>
    </w:p>
    <w:p w14:paraId="60BF5F6E" w14:textId="77777777" w:rsidR="001037B6" w:rsidRDefault="001037B6" w:rsidP="001037B6">
      <w:r>
        <w:t>So if possible what I would like to see here is a quantitative linkage of the first initiating KE (in this case decreased ATP) with the MIE - that is a delineation of KER1.</w:t>
      </w:r>
    </w:p>
    <w:p w14:paraId="28BCE191" w14:textId="77777777" w:rsidR="001037B6" w:rsidRDefault="001037B6" w:rsidP="001037B6">
      <w:r>
        <w:t>This would then lead to the understanding of key quantitative biomarkers of the AOP which is an area clearly missing in the description. It would be useful if some commentary could be added.</w:t>
      </w:r>
    </w:p>
    <w:p w14:paraId="71265303" w14:textId="3F58AC75" w:rsidR="001037B6" w:rsidRDefault="001037B6" w:rsidP="001037B6">
      <w:r>
        <w:t xml:space="preserve">One general comment related to the above. I would like to see a specific section in the submissions which deals with biomarkers of the AOPs. </w:t>
      </w:r>
    </w:p>
    <w:p w14:paraId="47DCD161" w14:textId="7D595E03" w:rsidR="000D3C04" w:rsidRDefault="000D3C04" w:rsidP="001037B6"/>
    <w:p w14:paraId="687888E1" w14:textId="6948B4BF" w:rsidR="000D3C04" w:rsidRDefault="000D3C04" w:rsidP="001037B6">
      <w:pPr>
        <w:rPr>
          <w:color w:val="0070C0"/>
        </w:rPr>
      </w:pPr>
      <w:r w:rsidRPr="000F5EFC">
        <w:rPr>
          <w:b/>
          <w:bCs/>
          <w:color w:val="0070C0"/>
          <w:sz w:val="24"/>
          <w:szCs w:val="24"/>
        </w:rPr>
        <w:t>Developers’ response</w:t>
      </w:r>
      <w:r w:rsidR="000F5EFC" w:rsidRPr="000F5EFC">
        <w:rPr>
          <w:b/>
          <w:bCs/>
          <w:color w:val="0070C0"/>
          <w:sz w:val="24"/>
          <w:szCs w:val="24"/>
        </w:rPr>
        <w:t>s</w:t>
      </w:r>
      <w:r w:rsidRPr="000D3C04">
        <w:rPr>
          <w:color w:val="0070C0"/>
        </w:rPr>
        <w:t>:</w:t>
      </w:r>
      <w:r w:rsidR="00DC1383">
        <w:rPr>
          <w:color w:val="0070C0"/>
        </w:rPr>
        <w:t xml:space="preserve"> We appreciate the positive feedback from Prof. Gant. </w:t>
      </w:r>
      <w:r w:rsidR="00C82744">
        <w:rPr>
          <w:color w:val="0070C0"/>
        </w:rPr>
        <w:t>Regarding the comment on quantitative understanding of the AOP, w</w:t>
      </w:r>
      <w:r w:rsidR="00DC1383">
        <w:rPr>
          <w:color w:val="0070C0"/>
        </w:rPr>
        <w:t>e assume that Prof. Gant was referring to our statement in the AOP report (now published in ET&amp;C)</w:t>
      </w:r>
      <w:r w:rsidR="00C82744">
        <w:rPr>
          <w:color w:val="0070C0"/>
        </w:rPr>
        <w:t xml:space="preserve">. In this case, we would like to clarify that the statements on evidence support for the AOP were intentionally simplified </w:t>
      </w:r>
      <w:r w:rsidR="0097353C">
        <w:rPr>
          <w:color w:val="0070C0"/>
        </w:rPr>
        <w:t>in the report (compared to the AOP</w:t>
      </w:r>
      <w:r w:rsidR="00A86B04">
        <w:rPr>
          <w:color w:val="0070C0"/>
        </w:rPr>
        <w:t>-</w:t>
      </w:r>
      <w:r w:rsidR="0097353C">
        <w:rPr>
          <w:color w:val="0070C0"/>
        </w:rPr>
        <w:t xml:space="preserve">Wiki) </w:t>
      </w:r>
      <w:r w:rsidR="00C82744">
        <w:rPr>
          <w:color w:val="0070C0"/>
        </w:rPr>
        <w:t xml:space="preserve">to meet the requirements of the journal. We have only listed a few examples in the report, but would </w:t>
      </w:r>
      <w:r w:rsidR="0097353C">
        <w:rPr>
          <w:color w:val="0070C0"/>
        </w:rPr>
        <w:t xml:space="preserve">rather </w:t>
      </w:r>
      <w:r w:rsidR="00C82744">
        <w:rPr>
          <w:color w:val="0070C0"/>
        </w:rPr>
        <w:t xml:space="preserve">like to redirect the readers to the AOPWiki-AOP263 pages for more details. Please find below a table listing evidence </w:t>
      </w:r>
      <w:r w:rsidR="0097353C">
        <w:rPr>
          <w:color w:val="0070C0"/>
        </w:rPr>
        <w:t>support for</w:t>
      </w:r>
      <w:r w:rsidR="00C82744">
        <w:rPr>
          <w:color w:val="0070C0"/>
        </w:rPr>
        <w:t xml:space="preserve"> the quantitative relationships of all key event relationships in this AOP.  The table is captured from the AOP263 wiki page </w:t>
      </w:r>
      <w:r w:rsidR="0097353C">
        <w:rPr>
          <w:color w:val="0070C0"/>
        </w:rPr>
        <w:t>on quantitative understanding (</w:t>
      </w:r>
      <w:hyperlink r:id="rId7" w:anchor="quan_considerations" w:history="1">
        <w:r w:rsidR="0097353C" w:rsidRPr="00575B6B">
          <w:rPr>
            <w:rStyle w:val="Hyperlink"/>
          </w:rPr>
          <w:t>https://aopwiki.org/aops/263#quan_considerations</w:t>
        </w:r>
      </w:hyperlink>
      <w:r w:rsidR="0097353C">
        <w:rPr>
          <w:color w:val="0070C0"/>
        </w:rPr>
        <w:t xml:space="preserve">). As </w:t>
      </w:r>
      <w:r w:rsidR="00A86B04">
        <w:rPr>
          <w:color w:val="0070C0"/>
        </w:rPr>
        <w:t>in the table below</w:t>
      </w:r>
      <w:r w:rsidR="0097353C">
        <w:rPr>
          <w:color w:val="0070C0"/>
        </w:rPr>
        <w:t>, there are multiple lines of evidence supporting the quantitative relationships of MIE</w:t>
      </w:r>
      <w:r w:rsidR="0097353C" w:rsidRPr="0097353C">
        <w:rPr>
          <w:color w:val="0070C0"/>
        </w:rPr>
        <w:sym w:font="Wingdings" w:char="F0E0"/>
      </w:r>
      <w:r w:rsidR="0097353C">
        <w:rPr>
          <w:color w:val="0070C0"/>
        </w:rPr>
        <w:t>KE1, KE1</w:t>
      </w:r>
      <w:r w:rsidR="0097353C" w:rsidRPr="0097353C">
        <w:rPr>
          <w:color w:val="0070C0"/>
        </w:rPr>
        <w:sym w:font="Wingdings" w:char="F0E0"/>
      </w:r>
      <w:r w:rsidR="0097353C">
        <w:rPr>
          <w:color w:val="0070C0"/>
        </w:rPr>
        <w:t>KE2 and KE2</w:t>
      </w:r>
      <w:r w:rsidR="0097353C" w:rsidRPr="0097353C">
        <w:rPr>
          <w:color w:val="0070C0"/>
        </w:rPr>
        <w:sym w:font="Wingdings" w:char="F0E0"/>
      </w:r>
      <w:r w:rsidR="0097353C">
        <w:rPr>
          <w:color w:val="0070C0"/>
        </w:rPr>
        <w:t>AO. The quantitative relationship between MIE (uncoupling of OXPHOS) and KE1 (reduced ATP) has been well characterized both theoretically and empirically, albeit the actual quantitative model may differ across species (which we have been working on</w:t>
      </w:r>
      <w:r w:rsidR="00CF5681">
        <w:rPr>
          <w:color w:val="0070C0"/>
        </w:rPr>
        <w:t xml:space="preserve"> through our research project</w:t>
      </w:r>
      <w:r w:rsidR="00EF4106">
        <w:rPr>
          <w:color w:val="0070C0"/>
        </w:rPr>
        <w:t xml:space="preserve"> RiskAOP, </w:t>
      </w:r>
      <w:r w:rsidR="00EF4106" w:rsidRPr="00EF4106">
        <w:rPr>
          <w:color w:val="0070C0"/>
        </w:rPr>
        <w:t>https://www.niva.no/en/projectweb/riskaop</w:t>
      </w:r>
      <w:r w:rsidR="0097353C">
        <w:rPr>
          <w:color w:val="0070C0"/>
        </w:rPr>
        <w:t xml:space="preserve">).   </w:t>
      </w:r>
      <w:r w:rsidR="00C82744">
        <w:rPr>
          <w:color w:val="0070C0"/>
        </w:rPr>
        <w:t xml:space="preserve">  </w:t>
      </w:r>
    </w:p>
    <w:p w14:paraId="515FD650" w14:textId="60CEF3AF" w:rsidR="00DC1383" w:rsidRDefault="00DC1383" w:rsidP="001037B6">
      <w:pPr>
        <w:rPr>
          <w:color w:val="0070C0"/>
        </w:rPr>
      </w:pPr>
    </w:p>
    <w:p w14:paraId="7E67753C" w14:textId="77777777" w:rsidR="00AA3AA0" w:rsidRDefault="00AA3AA0" w:rsidP="001037B6">
      <w:pPr>
        <w:rPr>
          <w:color w:val="0070C0"/>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25"/>
        <w:gridCol w:w="7485"/>
      </w:tblGrid>
      <w:tr w:rsidR="00DC1383" w:rsidRPr="00DC1383" w14:paraId="29D5B01E" w14:textId="77777777" w:rsidTr="00DC138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380F03" w14:textId="287B40F6" w:rsidR="00DC1383" w:rsidRPr="00DC1383" w:rsidRDefault="00DC1383" w:rsidP="00DC1383">
            <w:pPr>
              <w:spacing w:after="100" w:afterAutospacing="1" w:line="240" w:lineRule="auto"/>
              <w:rPr>
                <w:rFonts w:eastAsia="Times New Roman" w:cstheme="minorHAnsi"/>
                <w:color w:val="212529"/>
                <w:sz w:val="16"/>
                <w:szCs w:val="16"/>
                <w:lang w:val="en-US" w:eastAsia="zh-CN"/>
              </w:rPr>
            </w:pPr>
            <w:r>
              <w:rPr>
                <w:rFonts w:eastAsia="Times New Roman" w:cstheme="minorHAnsi"/>
                <w:b/>
                <w:bCs/>
                <w:color w:val="212529"/>
                <w:sz w:val="16"/>
                <w:szCs w:val="16"/>
                <w:lang w:val="en-US" w:eastAsia="zh-CN"/>
              </w:rPr>
              <w:lastRenderedPageBreak/>
              <w:t>Relat</w:t>
            </w:r>
            <w:r w:rsidRPr="00DC1383">
              <w:rPr>
                <w:rFonts w:eastAsia="Times New Roman" w:cstheme="minorHAnsi"/>
                <w:b/>
                <w:bCs/>
                <w:color w:val="212529"/>
                <w:sz w:val="16"/>
                <w:szCs w:val="16"/>
                <w:lang w:val="en-US" w:eastAsia="zh-CN"/>
              </w:rPr>
              <w:t>ionship 2203:</w:t>
            </w:r>
          </w:p>
          <w:p w14:paraId="76A4E5FD" w14:textId="77777777" w:rsidR="00DC1383" w:rsidRPr="00DC1383" w:rsidRDefault="00DC1383" w:rsidP="00DC1383">
            <w:pPr>
              <w:spacing w:after="100" w:afterAutospacing="1" w:line="240" w:lineRule="auto"/>
              <w:rPr>
                <w:rFonts w:eastAsia="Times New Roman" w:cstheme="minorHAnsi"/>
                <w:color w:val="212529"/>
                <w:sz w:val="16"/>
                <w:szCs w:val="16"/>
                <w:lang w:val="en-US" w:eastAsia="zh-CN"/>
              </w:rPr>
            </w:pPr>
            <w:r w:rsidRPr="00DC1383">
              <w:rPr>
                <w:rFonts w:eastAsia="Times New Roman" w:cstheme="minorHAnsi"/>
                <w:b/>
                <w:bCs/>
                <w:color w:val="212529"/>
                <w:sz w:val="16"/>
                <w:szCs w:val="16"/>
                <w:lang w:val="en-US" w:eastAsia="zh-CN"/>
              </w:rPr>
              <w:t>(Decrease, Coupling of OXPHOS leads to Decrease, ATP pool)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181D83" w14:textId="77777777" w:rsidR="00DC1383" w:rsidRPr="00DC1383" w:rsidRDefault="00DC1383" w:rsidP="00DC1383">
            <w:pPr>
              <w:spacing w:after="100" w:afterAutospacing="1" w:line="240" w:lineRule="auto"/>
              <w:rPr>
                <w:rFonts w:eastAsia="Times New Roman" w:cstheme="minorHAnsi"/>
                <w:color w:val="212529"/>
                <w:sz w:val="16"/>
                <w:szCs w:val="16"/>
                <w:lang w:val="en-US" w:eastAsia="zh-CN"/>
              </w:rPr>
            </w:pPr>
            <w:r w:rsidRPr="00DC1383">
              <w:rPr>
                <w:rFonts w:eastAsia="Times New Roman" w:cstheme="minorHAnsi"/>
                <w:b/>
                <w:bCs/>
                <w:color w:val="212529"/>
                <w:sz w:val="16"/>
                <w:szCs w:val="16"/>
                <w:lang w:val="en-US" w:eastAsia="zh-CN"/>
              </w:rPr>
              <w:t>Quantitative understanding of Relationship 2203 is</w:t>
            </w:r>
            <w:r w:rsidRPr="00DC1383">
              <w:rPr>
                <w:rFonts w:eastAsia="Times New Roman" w:cstheme="minorHAnsi"/>
                <w:color w:val="212529"/>
                <w:sz w:val="16"/>
                <w:szCs w:val="16"/>
                <w:lang w:val="en-US" w:eastAsia="zh-CN"/>
              </w:rPr>
              <w:t> high.</w:t>
            </w:r>
          </w:p>
          <w:p w14:paraId="4B30F525" w14:textId="77777777" w:rsidR="00DC1383" w:rsidRPr="00DC1383" w:rsidRDefault="00DC1383" w:rsidP="00DC1383">
            <w:pPr>
              <w:spacing w:after="100" w:afterAutospacing="1" w:line="240" w:lineRule="auto"/>
              <w:rPr>
                <w:rFonts w:eastAsia="Times New Roman" w:cstheme="minorHAnsi"/>
                <w:color w:val="212529"/>
                <w:sz w:val="16"/>
                <w:szCs w:val="16"/>
                <w:lang w:val="en-US" w:eastAsia="zh-CN"/>
              </w:rPr>
            </w:pPr>
            <w:r w:rsidRPr="00DC1383">
              <w:rPr>
                <w:rFonts w:eastAsia="Times New Roman" w:cstheme="minorHAnsi"/>
                <w:b/>
                <w:bCs/>
                <w:color w:val="212529"/>
                <w:sz w:val="16"/>
                <w:szCs w:val="16"/>
                <w:lang w:val="en-US" w:eastAsia="zh-CN"/>
              </w:rPr>
              <w:t>Rationale:</w:t>
            </w:r>
            <w:r w:rsidRPr="00DC1383">
              <w:rPr>
                <w:rFonts w:eastAsia="Times New Roman" w:cstheme="minorHAnsi"/>
                <w:color w:val="212529"/>
                <w:sz w:val="16"/>
                <w:szCs w:val="16"/>
                <w:lang w:val="en-US" w:eastAsia="zh-CN"/>
              </w:rPr>
              <w:t> The theoretical quantitative relationship between OXPHOS and ATP yield has been well established. There are also published computational/mathematical models in which modulating factors known to affect OXPHOS and ATP synthesis are considered.</w:t>
            </w:r>
          </w:p>
          <w:p w14:paraId="30395C04" w14:textId="77777777" w:rsidR="00DC1383" w:rsidRPr="00DC1383" w:rsidRDefault="00DC1383" w:rsidP="00DC1383">
            <w:pPr>
              <w:spacing w:after="100" w:afterAutospacing="1" w:line="240" w:lineRule="auto"/>
              <w:rPr>
                <w:rFonts w:eastAsia="Times New Roman" w:cstheme="minorHAnsi"/>
                <w:color w:val="212529"/>
                <w:sz w:val="16"/>
                <w:szCs w:val="16"/>
                <w:lang w:val="nb-NO" w:eastAsia="zh-CN"/>
              </w:rPr>
            </w:pPr>
            <w:r w:rsidRPr="00DC1383">
              <w:rPr>
                <w:rFonts w:eastAsia="Times New Roman" w:cstheme="minorHAnsi"/>
                <w:b/>
                <w:bCs/>
                <w:color w:val="212529"/>
                <w:sz w:val="16"/>
                <w:szCs w:val="16"/>
                <w:lang w:val="nb-NO" w:eastAsia="zh-CN"/>
              </w:rPr>
              <w:t>Evidence:</w:t>
            </w:r>
          </w:p>
          <w:p w14:paraId="238BDB8C" w14:textId="77777777" w:rsidR="00DC1383" w:rsidRPr="00DC1383" w:rsidRDefault="00DC1383" w:rsidP="00DC1383">
            <w:pPr>
              <w:numPr>
                <w:ilvl w:val="0"/>
                <w:numId w:val="1"/>
              </w:numPr>
              <w:spacing w:before="100" w:beforeAutospacing="1" w:after="100" w:afterAutospacing="1" w:line="240" w:lineRule="auto"/>
              <w:rPr>
                <w:rFonts w:eastAsia="Times New Roman" w:cstheme="minorHAnsi"/>
                <w:color w:val="212529"/>
                <w:sz w:val="16"/>
                <w:szCs w:val="16"/>
                <w:lang w:val="en-US" w:eastAsia="zh-CN"/>
              </w:rPr>
            </w:pPr>
            <w:r w:rsidRPr="00DC1383">
              <w:rPr>
                <w:rFonts w:eastAsia="Times New Roman" w:cstheme="minorHAnsi"/>
                <w:color w:val="212529"/>
                <w:sz w:val="16"/>
                <w:szCs w:val="16"/>
                <w:lang w:val="en-US" w:eastAsia="zh-CN"/>
              </w:rPr>
              <w:t>A biophysical computational model developed for mitochondrial respiration and OXPHOS (Beard 2005).</w:t>
            </w:r>
          </w:p>
          <w:p w14:paraId="47725862" w14:textId="77777777" w:rsidR="00DC1383" w:rsidRPr="00DC1383" w:rsidRDefault="00DC1383" w:rsidP="00DC1383">
            <w:pPr>
              <w:numPr>
                <w:ilvl w:val="0"/>
                <w:numId w:val="1"/>
              </w:numPr>
              <w:spacing w:before="100" w:beforeAutospacing="1" w:after="100" w:afterAutospacing="1" w:line="240" w:lineRule="auto"/>
              <w:rPr>
                <w:rFonts w:eastAsia="Times New Roman" w:cstheme="minorHAnsi"/>
                <w:color w:val="212529"/>
                <w:sz w:val="16"/>
                <w:szCs w:val="16"/>
                <w:lang w:val="en-US" w:eastAsia="zh-CN"/>
              </w:rPr>
            </w:pPr>
            <w:r w:rsidRPr="00DC1383">
              <w:rPr>
                <w:rFonts w:eastAsia="Times New Roman" w:cstheme="minorHAnsi"/>
                <w:color w:val="212529"/>
                <w:sz w:val="16"/>
                <w:szCs w:val="16"/>
                <w:lang w:val="en-US" w:eastAsia="zh-CN"/>
              </w:rPr>
              <w:t>Continuous development of the mitochondrial energy transduction models since 1967 (Schmitz 2011).</w:t>
            </w:r>
          </w:p>
          <w:p w14:paraId="08B58F3B" w14:textId="77777777" w:rsidR="00DC1383" w:rsidRPr="00DC1383" w:rsidRDefault="00DC1383" w:rsidP="00DC1383">
            <w:pPr>
              <w:numPr>
                <w:ilvl w:val="0"/>
                <w:numId w:val="1"/>
              </w:numPr>
              <w:spacing w:before="100" w:beforeAutospacing="1" w:after="100" w:afterAutospacing="1" w:line="240" w:lineRule="auto"/>
              <w:rPr>
                <w:rFonts w:eastAsia="Times New Roman" w:cstheme="minorHAnsi"/>
                <w:color w:val="212529"/>
                <w:sz w:val="16"/>
                <w:szCs w:val="16"/>
                <w:lang w:val="en-US" w:eastAsia="zh-CN"/>
              </w:rPr>
            </w:pPr>
            <w:r w:rsidRPr="00DC1383">
              <w:rPr>
                <w:rFonts w:eastAsia="Times New Roman" w:cstheme="minorHAnsi"/>
                <w:color w:val="212529"/>
                <w:sz w:val="16"/>
                <w:szCs w:val="16"/>
                <w:lang w:val="en-US" w:eastAsia="zh-CN"/>
              </w:rPr>
              <w:t>A comprehensive mathematical model developed for OXPHOS and ATP production under different physiological and pathological conditions (Heiske 2017).</w:t>
            </w:r>
          </w:p>
          <w:p w14:paraId="384485ED" w14:textId="77777777" w:rsidR="00DC1383" w:rsidRPr="00DC1383" w:rsidRDefault="00DC1383" w:rsidP="00DC1383">
            <w:pPr>
              <w:numPr>
                <w:ilvl w:val="0"/>
                <w:numId w:val="1"/>
              </w:numPr>
              <w:spacing w:before="100" w:beforeAutospacing="1" w:after="100" w:afterAutospacing="1" w:line="240" w:lineRule="auto"/>
              <w:rPr>
                <w:rFonts w:eastAsia="Times New Roman" w:cstheme="minorHAnsi"/>
                <w:color w:val="212529"/>
                <w:sz w:val="16"/>
                <w:szCs w:val="16"/>
                <w:lang w:val="en-US" w:eastAsia="zh-CN"/>
              </w:rPr>
            </w:pPr>
            <w:r w:rsidRPr="00DC1383">
              <w:rPr>
                <w:rFonts w:eastAsia="Times New Roman" w:cstheme="minorHAnsi"/>
                <w:color w:val="212529"/>
                <w:sz w:val="16"/>
                <w:szCs w:val="16"/>
                <w:lang w:val="en-US" w:eastAsia="zh-CN"/>
              </w:rPr>
              <w:t>A comprehensive analysis of the quantitative relationships between protonmotive force, ATP synthase rotation, ATP synthesis and hydrolysis (Kubo 2020).</w:t>
            </w:r>
          </w:p>
          <w:p w14:paraId="37D2B77B" w14:textId="77777777" w:rsidR="00DC1383" w:rsidRPr="00DC1383" w:rsidRDefault="00DC1383" w:rsidP="00DC1383">
            <w:pPr>
              <w:numPr>
                <w:ilvl w:val="0"/>
                <w:numId w:val="1"/>
              </w:numPr>
              <w:spacing w:before="100" w:beforeAutospacing="1" w:after="100" w:afterAutospacing="1" w:line="240" w:lineRule="auto"/>
              <w:rPr>
                <w:rFonts w:eastAsia="Times New Roman" w:cstheme="minorHAnsi"/>
                <w:color w:val="212529"/>
                <w:sz w:val="16"/>
                <w:szCs w:val="16"/>
                <w:lang w:val="en-US" w:eastAsia="zh-CN"/>
              </w:rPr>
            </w:pPr>
            <w:r w:rsidRPr="00DC1383">
              <w:rPr>
                <w:rFonts w:eastAsia="Times New Roman" w:cstheme="minorHAnsi"/>
                <w:color w:val="212529"/>
                <w:sz w:val="16"/>
                <w:szCs w:val="16"/>
                <w:lang w:val="en-US" w:eastAsia="zh-CN"/>
              </w:rPr>
              <w:t>A regression based response-response relationship for uncoupling of OXPHOS and ATP depletion (Song 2020).</w:t>
            </w:r>
          </w:p>
        </w:tc>
      </w:tr>
      <w:tr w:rsidR="00DC1383" w:rsidRPr="00DC1383" w14:paraId="69DEC0E1" w14:textId="77777777" w:rsidTr="00DC138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D23EDA" w14:textId="77777777" w:rsidR="00DC1383" w:rsidRPr="00DC1383" w:rsidRDefault="00DC1383" w:rsidP="00DC1383">
            <w:pPr>
              <w:spacing w:after="100" w:afterAutospacing="1" w:line="240" w:lineRule="auto"/>
              <w:rPr>
                <w:rFonts w:eastAsia="Times New Roman" w:cstheme="minorHAnsi"/>
                <w:color w:val="212529"/>
                <w:sz w:val="16"/>
                <w:szCs w:val="16"/>
                <w:lang w:val="en-US" w:eastAsia="zh-CN"/>
              </w:rPr>
            </w:pPr>
            <w:r w:rsidRPr="00DC1383">
              <w:rPr>
                <w:rFonts w:eastAsia="Times New Roman" w:cstheme="minorHAnsi"/>
                <w:b/>
                <w:bCs/>
                <w:color w:val="212529"/>
                <w:sz w:val="16"/>
                <w:szCs w:val="16"/>
                <w:lang w:val="en-US" w:eastAsia="zh-CN"/>
              </w:rPr>
              <w:t>Relationship 2204:</w:t>
            </w:r>
          </w:p>
          <w:p w14:paraId="6DC1DD67" w14:textId="77777777" w:rsidR="00DC1383" w:rsidRPr="00DC1383" w:rsidRDefault="00DC1383" w:rsidP="00DC1383">
            <w:pPr>
              <w:spacing w:after="100" w:afterAutospacing="1" w:line="240" w:lineRule="auto"/>
              <w:rPr>
                <w:rFonts w:eastAsia="Times New Roman" w:cstheme="minorHAnsi"/>
                <w:color w:val="212529"/>
                <w:sz w:val="16"/>
                <w:szCs w:val="16"/>
                <w:lang w:val="en-US" w:eastAsia="zh-CN"/>
              </w:rPr>
            </w:pPr>
            <w:r w:rsidRPr="00DC1383">
              <w:rPr>
                <w:rFonts w:eastAsia="Times New Roman" w:cstheme="minorHAnsi"/>
                <w:b/>
                <w:bCs/>
                <w:color w:val="212529"/>
                <w:sz w:val="16"/>
                <w:szCs w:val="16"/>
                <w:lang w:val="en-US" w:eastAsia="zh-CN"/>
              </w:rPr>
              <w:t>(Decrease, ATP pool leads to Decrease, Cell proliferation)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5798B3" w14:textId="77777777" w:rsidR="00DC1383" w:rsidRPr="00DC1383" w:rsidRDefault="00DC1383" w:rsidP="00DC1383">
            <w:pPr>
              <w:spacing w:after="100" w:afterAutospacing="1" w:line="240" w:lineRule="auto"/>
              <w:rPr>
                <w:rFonts w:eastAsia="Times New Roman" w:cstheme="minorHAnsi"/>
                <w:color w:val="212529"/>
                <w:sz w:val="16"/>
                <w:szCs w:val="16"/>
                <w:lang w:val="en-US" w:eastAsia="zh-CN"/>
              </w:rPr>
            </w:pPr>
            <w:r w:rsidRPr="00DC1383">
              <w:rPr>
                <w:rFonts w:eastAsia="Times New Roman" w:cstheme="minorHAnsi"/>
                <w:b/>
                <w:bCs/>
                <w:color w:val="212529"/>
                <w:sz w:val="16"/>
                <w:szCs w:val="16"/>
                <w:lang w:val="en-US" w:eastAsia="zh-CN"/>
              </w:rPr>
              <w:t>Quantitative understanding of Relationship 2204 is</w:t>
            </w:r>
            <w:r w:rsidRPr="00DC1383">
              <w:rPr>
                <w:rFonts w:eastAsia="Times New Roman" w:cstheme="minorHAnsi"/>
                <w:color w:val="212529"/>
                <w:sz w:val="16"/>
                <w:szCs w:val="16"/>
                <w:lang w:val="en-US" w:eastAsia="zh-CN"/>
              </w:rPr>
              <w:t> moderate.</w:t>
            </w:r>
          </w:p>
          <w:p w14:paraId="5889F49A" w14:textId="77777777" w:rsidR="00DC1383" w:rsidRPr="00DC1383" w:rsidRDefault="00DC1383" w:rsidP="00DC1383">
            <w:pPr>
              <w:spacing w:after="100" w:afterAutospacing="1" w:line="240" w:lineRule="auto"/>
              <w:rPr>
                <w:rFonts w:eastAsia="Times New Roman" w:cstheme="minorHAnsi"/>
                <w:color w:val="212529"/>
                <w:sz w:val="16"/>
                <w:szCs w:val="16"/>
                <w:lang w:val="en-US" w:eastAsia="zh-CN"/>
              </w:rPr>
            </w:pPr>
            <w:r w:rsidRPr="00DC1383">
              <w:rPr>
                <w:rFonts w:eastAsia="Times New Roman" w:cstheme="minorHAnsi"/>
                <w:b/>
                <w:bCs/>
                <w:color w:val="212529"/>
                <w:sz w:val="16"/>
                <w:szCs w:val="16"/>
                <w:lang w:val="en-US" w:eastAsia="zh-CN"/>
              </w:rPr>
              <w:t>Rationale:</w:t>
            </w:r>
            <w:r w:rsidRPr="00DC1383">
              <w:rPr>
                <w:rFonts w:eastAsia="Times New Roman" w:cstheme="minorHAnsi"/>
                <w:color w:val="212529"/>
                <w:sz w:val="16"/>
                <w:szCs w:val="16"/>
                <w:lang w:val="en-US" w:eastAsia="zh-CN"/>
              </w:rPr>
              <w:t> The total ATP level has been used as an indicator of cell proliferation. Several studies have reported the quantitative relationships between the two events, as well as a threshold value for KE1 to trigger KE2. However, not all modulating factors have been accounted and no well-established computational/mathematical models are found.</w:t>
            </w:r>
          </w:p>
          <w:p w14:paraId="3F798F2A" w14:textId="77777777" w:rsidR="00DC1383" w:rsidRPr="00DC1383" w:rsidRDefault="00DC1383" w:rsidP="00DC1383">
            <w:pPr>
              <w:spacing w:after="100" w:afterAutospacing="1" w:line="240" w:lineRule="auto"/>
              <w:rPr>
                <w:rFonts w:eastAsia="Times New Roman" w:cstheme="minorHAnsi"/>
                <w:color w:val="212529"/>
                <w:sz w:val="16"/>
                <w:szCs w:val="16"/>
                <w:lang w:val="nb-NO" w:eastAsia="zh-CN"/>
              </w:rPr>
            </w:pPr>
            <w:r w:rsidRPr="00DC1383">
              <w:rPr>
                <w:rFonts w:eastAsia="Times New Roman" w:cstheme="minorHAnsi"/>
                <w:b/>
                <w:bCs/>
                <w:color w:val="212529"/>
                <w:sz w:val="16"/>
                <w:szCs w:val="16"/>
                <w:lang w:val="nb-NO" w:eastAsia="zh-CN"/>
              </w:rPr>
              <w:t>Evidence</w:t>
            </w:r>
            <w:r w:rsidRPr="00DC1383">
              <w:rPr>
                <w:rFonts w:eastAsia="Times New Roman" w:cstheme="minorHAnsi"/>
                <w:color w:val="212529"/>
                <w:sz w:val="16"/>
                <w:szCs w:val="16"/>
                <w:lang w:val="nb-NO" w:eastAsia="zh-CN"/>
              </w:rPr>
              <w:t>:</w:t>
            </w:r>
          </w:p>
          <w:p w14:paraId="35760238" w14:textId="77777777" w:rsidR="00DC1383" w:rsidRPr="00DC1383" w:rsidRDefault="00DC1383" w:rsidP="00DC1383">
            <w:pPr>
              <w:numPr>
                <w:ilvl w:val="0"/>
                <w:numId w:val="2"/>
              </w:numPr>
              <w:spacing w:before="100" w:beforeAutospacing="1" w:after="100" w:afterAutospacing="1" w:line="240" w:lineRule="auto"/>
              <w:rPr>
                <w:rFonts w:eastAsia="Times New Roman" w:cstheme="minorHAnsi"/>
                <w:color w:val="212529"/>
                <w:sz w:val="16"/>
                <w:szCs w:val="16"/>
                <w:lang w:val="en-US" w:eastAsia="zh-CN"/>
              </w:rPr>
            </w:pPr>
            <w:r w:rsidRPr="00DC1383">
              <w:rPr>
                <w:rFonts w:eastAsia="Times New Roman" w:cstheme="minorHAnsi"/>
                <w:color w:val="212529"/>
                <w:sz w:val="16"/>
                <w:szCs w:val="16"/>
                <w:lang w:val="en-US" w:eastAsia="zh-CN"/>
              </w:rPr>
              <w:t>Quantitative understanding of ATP level, cell viability and colony growth (Ahmann 1987).</w:t>
            </w:r>
          </w:p>
          <w:p w14:paraId="0B3FEE85" w14:textId="77777777" w:rsidR="00DC1383" w:rsidRPr="00DC1383" w:rsidRDefault="00DC1383" w:rsidP="00DC1383">
            <w:pPr>
              <w:numPr>
                <w:ilvl w:val="0"/>
                <w:numId w:val="2"/>
              </w:numPr>
              <w:spacing w:before="100" w:beforeAutospacing="1" w:after="100" w:afterAutospacing="1" w:line="240" w:lineRule="auto"/>
              <w:rPr>
                <w:rFonts w:eastAsia="Times New Roman" w:cstheme="minorHAnsi"/>
                <w:color w:val="212529"/>
                <w:sz w:val="16"/>
                <w:szCs w:val="16"/>
                <w:lang w:val="en-US" w:eastAsia="zh-CN"/>
              </w:rPr>
            </w:pPr>
            <w:r w:rsidRPr="00DC1383">
              <w:rPr>
                <w:rFonts w:eastAsia="Times New Roman" w:cstheme="minorHAnsi"/>
                <w:color w:val="212529"/>
                <w:sz w:val="16"/>
                <w:szCs w:val="16"/>
                <w:lang w:val="en-US" w:eastAsia="zh-CN"/>
              </w:rPr>
              <w:t>Quantitative relationship between ATP level and cell proliferation (Crouch 1993).</w:t>
            </w:r>
          </w:p>
          <w:p w14:paraId="2EAE256E" w14:textId="77777777" w:rsidR="00DC1383" w:rsidRPr="00DC1383" w:rsidRDefault="00DC1383" w:rsidP="00DC1383">
            <w:pPr>
              <w:numPr>
                <w:ilvl w:val="0"/>
                <w:numId w:val="2"/>
              </w:numPr>
              <w:spacing w:before="100" w:beforeAutospacing="1" w:after="100" w:afterAutospacing="1" w:line="240" w:lineRule="auto"/>
              <w:rPr>
                <w:rFonts w:eastAsia="Times New Roman" w:cstheme="minorHAnsi"/>
                <w:color w:val="212529"/>
                <w:sz w:val="16"/>
                <w:szCs w:val="16"/>
                <w:lang w:val="en-US" w:eastAsia="zh-CN"/>
              </w:rPr>
            </w:pPr>
            <w:r w:rsidRPr="00DC1383">
              <w:rPr>
                <w:rFonts w:eastAsia="Times New Roman" w:cstheme="minorHAnsi"/>
                <w:color w:val="212529"/>
                <w:sz w:val="16"/>
                <w:szCs w:val="16"/>
                <w:lang w:val="en-US" w:eastAsia="zh-CN"/>
              </w:rPr>
              <w:t>Thresholds for ATP depletion (85-90% reduction) to determine cell cycle arrest (&lt;85-90%) or cell death (&gt;85-90%) (Nieminen 1994).</w:t>
            </w:r>
          </w:p>
        </w:tc>
      </w:tr>
      <w:tr w:rsidR="00DC1383" w:rsidRPr="00DC1383" w14:paraId="5EAA0537" w14:textId="77777777" w:rsidTr="00DC138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9A625D" w14:textId="77777777" w:rsidR="00DC1383" w:rsidRPr="00DC1383" w:rsidRDefault="00DC1383" w:rsidP="00DC1383">
            <w:pPr>
              <w:spacing w:after="100" w:afterAutospacing="1" w:line="240" w:lineRule="auto"/>
              <w:rPr>
                <w:rFonts w:eastAsia="Times New Roman" w:cstheme="minorHAnsi"/>
                <w:color w:val="212529"/>
                <w:sz w:val="16"/>
                <w:szCs w:val="16"/>
                <w:lang w:val="en-US" w:eastAsia="zh-CN"/>
              </w:rPr>
            </w:pPr>
            <w:r w:rsidRPr="00DC1383">
              <w:rPr>
                <w:rFonts w:eastAsia="Times New Roman" w:cstheme="minorHAnsi"/>
                <w:b/>
                <w:bCs/>
                <w:color w:val="212529"/>
                <w:sz w:val="16"/>
                <w:szCs w:val="16"/>
                <w:lang w:val="en-US" w:eastAsia="zh-CN"/>
              </w:rPr>
              <w:t>Relationship 2205:</w:t>
            </w:r>
          </w:p>
          <w:p w14:paraId="3ABC4F78" w14:textId="77777777" w:rsidR="00DC1383" w:rsidRPr="00DC1383" w:rsidRDefault="00DC1383" w:rsidP="00DC1383">
            <w:pPr>
              <w:spacing w:after="100" w:afterAutospacing="1" w:line="240" w:lineRule="auto"/>
              <w:rPr>
                <w:rFonts w:eastAsia="Times New Roman" w:cstheme="minorHAnsi"/>
                <w:color w:val="212529"/>
                <w:sz w:val="16"/>
                <w:szCs w:val="16"/>
                <w:lang w:val="en-US" w:eastAsia="zh-CN"/>
              </w:rPr>
            </w:pPr>
            <w:r w:rsidRPr="00DC1383">
              <w:rPr>
                <w:rFonts w:eastAsia="Times New Roman" w:cstheme="minorHAnsi"/>
                <w:b/>
                <w:bCs/>
                <w:color w:val="212529"/>
                <w:sz w:val="16"/>
                <w:szCs w:val="16"/>
                <w:lang w:val="en-US" w:eastAsia="zh-CN"/>
              </w:rPr>
              <w:t>(Decrease, Cell proliferation leads to Decrease, Growth)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418595" w14:textId="77777777" w:rsidR="00DC1383" w:rsidRPr="00DC1383" w:rsidRDefault="00DC1383" w:rsidP="00DC1383">
            <w:pPr>
              <w:spacing w:after="100" w:afterAutospacing="1" w:line="240" w:lineRule="auto"/>
              <w:rPr>
                <w:rFonts w:eastAsia="Times New Roman" w:cstheme="minorHAnsi"/>
                <w:color w:val="212529"/>
                <w:sz w:val="16"/>
                <w:szCs w:val="16"/>
                <w:lang w:val="en-US" w:eastAsia="zh-CN"/>
              </w:rPr>
            </w:pPr>
            <w:r w:rsidRPr="00DC1383">
              <w:rPr>
                <w:rFonts w:eastAsia="Times New Roman" w:cstheme="minorHAnsi"/>
                <w:b/>
                <w:bCs/>
                <w:color w:val="212529"/>
                <w:sz w:val="16"/>
                <w:szCs w:val="16"/>
                <w:lang w:val="en-US" w:eastAsia="zh-CN"/>
              </w:rPr>
              <w:t>Quantitative understanding of Relationship 2205 is</w:t>
            </w:r>
            <w:r w:rsidRPr="00DC1383">
              <w:rPr>
                <w:rFonts w:eastAsia="Times New Roman" w:cstheme="minorHAnsi"/>
                <w:color w:val="212529"/>
                <w:sz w:val="16"/>
                <w:szCs w:val="16"/>
                <w:lang w:val="en-US" w:eastAsia="zh-CN"/>
              </w:rPr>
              <w:t> moderate.</w:t>
            </w:r>
          </w:p>
          <w:p w14:paraId="1DAEA0EA" w14:textId="77777777" w:rsidR="00DC1383" w:rsidRPr="00DC1383" w:rsidRDefault="00DC1383" w:rsidP="00DC1383">
            <w:pPr>
              <w:spacing w:after="100" w:afterAutospacing="1" w:line="240" w:lineRule="auto"/>
              <w:rPr>
                <w:rFonts w:eastAsia="Times New Roman" w:cstheme="minorHAnsi"/>
                <w:color w:val="212529"/>
                <w:sz w:val="16"/>
                <w:szCs w:val="16"/>
                <w:lang w:val="en-US" w:eastAsia="zh-CN"/>
              </w:rPr>
            </w:pPr>
            <w:r w:rsidRPr="00DC1383">
              <w:rPr>
                <w:rFonts w:eastAsia="Times New Roman" w:cstheme="minorHAnsi"/>
                <w:b/>
                <w:bCs/>
                <w:color w:val="212529"/>
                <w:sz w:val="16"/>
                <w:szCs w:val="16"/>
                <w:lang w:val="en-US" w:eastAsia="zh-CN"/>
              </w:rPr>
              <w:t>Rationale:</w:t>
            </w:r>
            <w:r w:rsidRPr="00DC1383">
              <w:rPr>
                <w:rFonts w:eastAsia="Times New Roman" w:cstheme="minorHAnsi"/>
                <w:color w:val="212529"/>
                <w:sz w:val="16"/>
                <w:szCs w:val="16"/>
                <w:lang w:val="en-US" w:eastAsia="zh-CN"/>
              </w:rPr>
              <w:t> Multiple mathematical models describing the quantitative relationships between cell proliferation and tissue growth exist for both animals (Binder 2008) and plants (Mosca 2018). There are also numerous models that are specifically developed for predicting tumor growth based on the proliferation rate (Jarrett 2018). However, there is currently a lack of quantitative model to link cell proliferation and individual growth in the presence of uncouplers.</w:t>
            </w:r>
          </w:p>
          <w:p w14:paraId="4F5FE72E" w14:textId="77777777" w:rsidR="00DC1383" w:rsidRPr="00DC1383" w:rsidRDefault="00DC1383" w:rsidP="00DC1383">
            <w:pPr>
              <w:spacing w:after="100" w:afterAutospacing="1" w:line="240" w:lineRule="auto"/>
              <w:rPr>
                <w:rFonts w:eastAsia="Times New Roman" w:cstheme="minorHAnsi"/>
                <w:color w:val="212529"/>
                <w:sz w:val="16"/>
                <w:szCs w:val="16"/>
                <w:lang w:val="nb-NO" w:eastAsia="zh-CN"/>
              </w:rPr>
            </w:pPr>
            <w:r w:rsidRPr="00DC1383">
              <w:rPr>
                <w:rFonts w:eastAsia="Times New Roman" w:cstheme="minorHAnsi"/>
                <w:color w:val="212529"/>
                <w:sz w:val="16"/>
                <w:szCs w:val="16"/>
                <w:lang w:val="nb-NO" w:eastAsia="zh-CN"/>
              </w:rPr>
              <w:t>Evidence:</w:t>
            </w:r>
          </w:p>
          <w:p w14:paraId="2D34B611" w14:textId="77777777" w:rsidR="00DC1383" w:rsidRPr="00DC1383" w:rsidRDefault="00DC1383" w:rsidP="00DC1383">
            <w:pPr>
              <w:numPr>
                <w:ilvl w:val="0"/>
                <w:numId w:val="3"/>
              </w:numPr>
              <w:spacing w:before="100" w:beforeAutospacing="1" w:after="100" w:afterAutospacing="1" w:line="240" w:lineRule="auto"/>
              <w:rPr>
                <w:rFonts w:eastAsia="Times New Roman" w:cstheme="minorHAnsi"/>
                <w:color w:val="212529"/>
                <w:sz w:val="16"/>
                <w:szCs w:val="16"/>
                <w:lang w:val="en-US" w:eastAsia="zh-CN"/>
              </w:rPr>
            </w:pPr>
            <w:r w:rsidRPr="00DC1383">
              <w:rPr>
                <w:rFonts w:eastAsia="Times New Roman" w:cstheme="minorHAnsi"/>
                <w:color w:val="212529"/>
                <w:sz w:val="16"/>
                <w:szCs w:val="16"/>
                <w:lang w:val="en-US" w:eastAsia="zh-CN"/>
              </w:rPr>
              <w:t>A mathematical model developed for describing the quantitative relationship between cell proliferation and tissue growth (Binder 2008).</w:t>
            </w:r>
          </w:p>
          <w:p w14:paraId="5A39624C" w14:textId="77777777" w:rsidR="00DC1383" w:rsidRPr="00DC1383" w:rsidRDefault="00DC1383" w:rsidP="00DC1383">
            <w:pPr>
              <w:numPr>
                <w:ilvl w:val="0"/>
                <w:numId w:val="3"/>
              </w:numPr>
              <w:spacing w:before="100" w:beforeAutospacing="1" w:after="100" w:afterAutospacing="1" w:line="240" w:lineRule="auto"/>
              <w:rPr>
                <w:rFonts w:eastAsia="Times New Roman" w:cstheme="minorHAnsi"/>
                <w:color w:val="212529"/>
                <w:sz w:val="16"/>
                <w:szCs w:val="16"/>
                <w:lang w:val="en-US" w:eastAsia="zh-CN"/>
              </w:rPr>
            </w:pPr>
            <w:r w:rsidRPr="00DC1383">
              <w:rPr>
                <w:rFonts w:eastAsia="Times New Roman" w:cstheme="minorHAnsi"/>
                <w:color w:val="212529"/>
                <w:sz w:val="16"/>
                <w:szCs w:val="16"/>
                <w:lang w:val="en-US" w:eastAsia="zh-CN"/>
              </w:rPr>
              <w:t>A mathematical model developed for cell division and plant tissue growth (Mosca 2018).</w:t>
            </w:r>
          </w:p>
          <w:p w14:paraId="667CD952" w14:textId="77777777" w:rsidR="00DC1383" w:rsidRPr="00DC1383" w:rsidRDefault="00DC1383" w:rsidP="00DC1383">
            <w:pPr>
              <w:numPr>
                <w:ilvl w:val="0"/>
                <w:numId w:val="3"/>
              </w:numPr>
              <w:spacing w:before="100" w:beforeAutospacing="1" w:after="100" w:afterAutospacing="1" w:line="240" w:lineRule="auto"/>
              <w:rPr>
                <w:rFonts w:eastAsia="Times New Roman" w:cstheme="minorHAnsi"/>
                <w:color w:val="212529"/>
                <w:sz w:val="16"/>
                <w:szCs w:val="16"/>
                <w:lang w:val="en-US" w:eastAsia="zh-CN"/>
              </w:rPr>
            </w:pPr>
            <w:r w:rsidRPr="00DC1383">
              <w:rPr>
                <w:rFonts w:eastAsia="Times New Roman" w:cstheme="minorHAnsi"/>
                <w:color w:val="212529"/>
                <w:sz w:val="16"/>
                <w:szCs w:val="16"/>
                <w:lang w:val="en-US" w:eastAsia="zh-CN"/>
              </w:rPr>
              <w:t>Multiple mathematical models developed for cell proliferation and tumor growth (Jarrett 2018).</w:t>
            </w:r>
          </w:p>
        </w:tc>
      </w:tr>
    </w:tbl>
    <w:p w14:paraId="70AC654E" w14:textId="77777777" w:rsidR="00DC1383" w:rsidRPr="00DC1383" w:rsidRDefault="00DC1383" w:rsidP="001037B6">
      <w:pPr>
        <w:rPr>
          <w:color w:val="0070C0"/>
          <w:lang w:val="en-US"/>
        </w:rPr>
      </w:pPr>
    </w:p>
    <w:p w14:paraId="1B248D1D" w14:textId="45F94F25" w:rsidR="00625700" w:rsidRDefault="00C17833">
      <w:pPr>
        <w:rPr>
          <w:color w:val="0070C0"/>
        </w:rPr>
      </w:pPr>
      <w:r w:rsidRPr="00C17833">
        <w:rPr>
          <w:color w:val="0070C0"/>
        </w:rPr>
        <w:t>Regarding the biomarkers,</w:t>
      </w:r>
      <w:r w:rsidR="00AF1178">
        <w:rPr>
          <w:color w:val="0070C0"/>
        </w:rPr>
        <w:t xml:space="preserve"> </w:t>
      </w:r>
      <w:r w:rsidR="003C501B">
        <w:rPr>
          <w:color w:val="0070C0"/>
        </w:rPr>
        <w:t xml:space="preserve">we think that the key events by definition originate from the biomarker research. Most of the key events can therefore be considered as biomarkers. However, in this AOP, </w:t>
      </w:r>
      <w:r w:rsidR="00AF1178">
        <w:rPr>
          <w:color w:val="0070C0"/>
        </w:rPr>
        <w:t xml:space="preserve">we do not think that </w:t>
      </w:r>
      <w:r w:rsidR="003C501B">
        <w:rPr>
          <w:color w:val="0070C0"/>
        </w:rPr>
        <w:t>KE1 (ATP pool)</w:t>
      </w:r>
      <w:r w:rsidR="00AF1178">
        <w:rPr>
          <w:color w:val="0070C0"/>
        </w:rPr>
        <w:t xml:space="preserve"> alone can be used as a </w:t>
      </w:r>
      <w:r w:rsidR="003C501B">
        <w:rPr>
          <w:color w:val="0070C0"/>
        </w:rPr>
        <w:t xml:space="preserve">robust </w:t>
      </w:r>
      <w:r w:rsidR="00AF1178">
        <w:rPr>
          <w:color w:val="0070C0"/>
        </w:rPr>
        <w:t xml:space="preserve">biomarker to indicate uncoupling of OXPHOS or growth inhibition, as many other biological processes may also affect the ATP pool and reduced ATP can lead to various downstream consequences. </w:t>
      </w:r>
      <w:r w:rsidR="003C501B">
        <w:rPr>
          <w:color w:val="0070C0"/>
        </w:rPr>
        <w:t xml:space="preserve">The biomarker is not sufficiently specific. </w:t>
      </w:r>
      <w:r w:rsidR="00AF1178">
        <w:rPr>
          <w:color w:val="0070C0"/>
        </w:rPr>
        <w:t xml:space="preserve">But we do believe that the four key events in AOP 263 as a </w:t>
      </w:r>
      <w:r w:rsidR="003C501B">
        <w:rPr>
          <w:color w:val="0070C0"/>
        </w:rPr>
        <w:t>suite</w:t>
      </w:r>
      <w:r w:rsidR="00AF1178">
        <w:rPr>
          <w:color w:val="0070C0"/>
        </w:rPr>
        <w:t xml:space="preserve"> can be considered as a new tiered testing strategy for screening and assessment of mitochondrial uncouplers and eukaryotic growth regulators (discussed in the last section in the AOP report and AOP</w:t>
      </w:r>
      <w:r w:rsidR="00A86B04">
        <w:rPr>
          <w:color w:val="0070C0"/>
        </w:rPr>
        <w:t>-</w:t>
      </w:r>
      <w:r w:rsidR="00AF1178">
        <w:rPr>
          <w:color w:val="0070C0"/>
        </w:rPr>
        <w:t>Wiki).</w:t>
      </w:r>
      <w:r w:rsidR="00625700">
        <w:rPr>
          <w:color w:val="0070C0"/>
        </w:rPr>
        <w:t xml:space="preserve"> The assays for quantifying these key events (or biomarkers) </w:t>
      </w:r>
      <w:r w:rsidR="003C501B">
        <w:rPr>
          <w:color w:val="0070C0"/>
        </w:rPr>
        <w:t>have been</w:t>
      </w:r>
      <w:r w:rsidR="00625700">
        <w:rPr>
          <w:color w:val="0070C0"/>
        </w:rPr>
        <w:t xml:space="preserve"> listed in Box 2 in the AOP report (please see below) and in different key event pages in the AOP</w:t>
      </w:r>
      <w:r w:rsidR="00A86B04">
        <w:rPr>
          <w:color w:val="0070C0"/>
        </w:rPr>
        <w:t>-</w:t>
      </w:r>
      <w:r w:rsidR="00625700">
        <w:rPr>
          <w:color w:val="0070C0"/>
        </w:rPr>
        <w:t xml:space="preserve">Wiki. We nevertheless fully agree with Prof. Gant </w:t>
      </w:r>
      <w:r w:rsidR="00625700">
        <w:rPr>
          <w:color w:val="0070C0"/>
        </w:rPr>
        <w:lastRenderedPageBreak/>
        <w:t xml:space="preserve">that some discussions/statements on </w:t>
      </w:r>
      <w:r w:rsidR="003C501B">
        <w:rPr>
          <w:color w:val="0070C0"/>
        </w:rPr>
        <w:t xml:space="preserve">the use of key events as </w:t>
      </w:r>
      <w:r w:rsidR="00625700">
        <w:rPr>
          <w:color w:val="0070C0"/>
        </w:rPr>
        <w:t>potential biomarkers should be included for the AOP. We have therefore added a few sentences to the last section (i.e., “</w:t>
      </w:r>
      <w:r w:rsidR="00625700" w:rsidRPr="00625700">
        <w:rPr>
          <w:color w:val="0070C0"/>
        </w:rPr>
        <w:t>Considerations for Potential Applications of the AOP</w:t>
      </w:r>
      <w:r w:rsidR="00625700">
        <w:rPr>
          <w:color w:val="0070C0"/>
        </w:rPr>
        <w:t xml:space="preserve">”) of the AOP263 wiki page to elaborate </w:t>
      </w:r>
      <w:r w:rsidR="00AA3AA0" w:rsidRPr="000F5EFC">
        <w:rPr>
          <w:b/>
          <w:bCs/>
          <w:noProof/>
          <w:color w:val="0070C0"/>
          <w:sz w:val="24"/>
          <w:szCs w:val="24"/>
          <w:lang w:eastAsia="en-GB"/>
        </w:rPr>
        <mc:AlternateContent>
          <mc:Choice Requires="wpg">
            <w:drawing>
              <wp:anchor distT="45720" distB="45720" distL="182880" distR="182880" simplePos="0" relativeHeight="251659264" behindDoc="0" locked="0" layoutInCell="1" allowOverlap="1" wp14:anchorId="3BC610C8" wp14:editId="175BFA46">
                <wp:simplePos x="0" y="0"/>
                <wp:positionH relativeFrom="margin">
                  <wp:align>left</wp:align>
                </wp:positionH>
                <wp:positionV relativeFrom="margin">
                  <wp:posOffset>895350</wp:posOffset>
                </wp:positionV>
                <wp:extent cx="5575300" cy="2851150"/>
                <wp:effectExtent l="0" t="0" r="6350" b="6350"/>
                <wp:wrapSquare wrapText="bothSides"/>
                <wp:docPr id="198" name="Group 198"/>
                <wp:cNvGraphicFramePr/>
                <a:graphic xmlns:a="http://schemas.openxmlformats.org/drawingml/2006/main">
                  <a:graphicData uri="http://schemas.microsoft.com/office/word/2010/wordprocessingGroup">
                    <wpg:wgp>
                      <wpg:cNvGrpSpPr/>
                      <wpg:grpSpPr>
                        <a:xfrm>
                          <a:off x="0" y="0"/>
                          <a:ext cx="5575300" cy="2851150"/>
                          <a:chOff x="0" y="0"/>
                          <a:chExt cx="3567448" cy="2850553"/>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72BB45" w14:textId="77777777" w:rsidR="00625700" w:rsidRPr="00AA3AA0" w:rsidRDefault="00625700" w:rsidP="00625700">
                              <w:pPr>
                                <w:rPr>
                                  <w:b/>
                                  <w:bCs/>
                                  <w:color w:val="2E74B5" w:themeColor="accent1" w:themeShade="BF"/>
                                  <w:sz w:val="16"/>
                                  <w:szCs w:val="16"/>
                                </w:rPr>
                              </w:pPr>
                              <w:r w:rsidRPr="00AA3AA0">
                                <w:rPr>
                                  <w:b/>
                                  <w:bCs/>
                                  <w:color w:val="2E74B5" w:themeColor="accent1" w:themeShade="BF"/>
                                  <w:sz w:val="16"/>
                                  <w:szCs w:val="16"/>
                                </w:rPr>
                                <w:t>BOX 2: List of assays associated with the AOP</w:t>
                              </w:r>
                            </w:p>
                            <w:p w14:paraId="55EF0C3A" w14:textId="77777777" w:rsidR="00625700" w:rsidRPr="00AA3AA0" w:rsidRDefault="00625700">
                              <w:pPr>
                                <w:jc w:val="center"/>
                                <w:rPr>
                                  <w:rFonts w:asciiTheme="majorHAnsi" w:eastAsiaTheme="majorEastAsia" w:hAnsiTheme="majorHAnsi" w:cstheme="majorBidi"/>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86"/>
                            <a:ext cx="3567448" cy="2597867"/>
                          </a:xfrm>
                          <a:prstGeom prst="rect">
                            <a:avLst/>
                          </a:prstGeom>
                          <a:solidFill>
                            <a:schemeClr val="accent1">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B6777" w14:textId="77777777" w:rsidR="00625700" w:rsidRPr="00AA3AA0" w:rsidRDefault="00625700" w:rsidP="00625700">
                              <w:pPr>
                                <w:pStyle w:val="ListParagraph"/>
                                <w:numPr>
                                  <w:ilvl w:val="0"/>
                                  <w:numId w:val="4"/>
                                </w:numPr>
                                <w:jc w:val="left"/>
                                <w:rPr>
                                  <w:color w:val="2E74B5" w:themeColor="accent1" w:themeShade="BF"/>
                                  <w:sz w:val="16"/>
                                  <w:szCs w:val="16"/>
                                </w:rPr>
                              </w:pPr>
                              <w:r w:rsidRPr="00AA3AA0">
                                <w:rPr>
                                  <w:b/>
                                  <w:bCs/>
                                  <w:color w:val="2E74B5" w:themeColor="accent1" w:themeShade="BF"/>
                                  <w:sz w:val="16"/>
                                  <w:szCs w:val="16"/>
                                </w:rPr>
                                <w:t>MIE:</w:t>
                              </w:r>
                              <w:r w:rsidRPr="00AA3AA0">
                                <w:rPr>
                                  <w:color w:val="2E74B5" w:themeColor="accent1" w:themeShade="BF"/>
                                  <w:sz w:val="16"/>
                                  <w:szCs w:val="16"/>
                                </w:rPr>
                                <w:t xml:space="preserve"> Uncoupling of oxidative phosphorylation can be indicated by a decrease in mitochondrial membrane potential, an increase in proton leak, and/or an increase in oxygen consumption rate. Widely accepted high-throughput methods for determination of mitochondrial membrane potential in isolated mitochondria, cells or tissue are mainly based on commercially available fluorescent probes, such as TMRM (tetramethylrhodamine methyl ester), TMRE (tetramethylrhodamine ethyl ester) and JC-1. Oxygen consumption rate can be measured using a high-resolution respirometer or equivalent such as a Seahorse XF Analyzer. It is highly recommended to combine different types of measurements to verify if a chemical has uncoupling mode of action. </w:t>
                              </w:r>
                              <w:bookmarkStart w:id="0" w:name="_Hlk74591642"/>
                              <w:r w:rsidRPr="00AA3AA0">
                                <w:rPr>
                                  <w:color w:val="2E74B5" w:themeColor="accent1" w:themeShade="BF"/>
                                  <w:sz w:val="16"/>
                                  <w:szCs w:val="16"/>
                                </w:rPr>
                                <w:t>Standardized ToxCast high-throughput screening bioassays, such as “APR_HepG2_MitoMembPot”, “APR_Hepat_MitoFxnI”, and “APR_Mitochondrial_membrane_potential”, and the Tox21 high-throughput screening assay “tox21-mitotox-p1” can be used to measure this MIE.</w:t>
                              </w:r>
                            </w:p>
                            <w:bookmarkEnd w:id="0"/>
                            <w:p w14:paraId="560D2096" w14:textId="77777777" w:rsidR="00625700" w:rsidRPr="00AA3AA0" w:rsidRDefault="00625700" w:rsidP="00625700">
                              <w:pPr>
                                <w:pStyle w:val="ListParagraph"/>
                                <w:numPr>
                                  <w:ilvl w:val="0"/>
                                  <w:numId w:val="4"/>
                                </w:numPr>
                                <w:jc w:val="left"/>
                                <w:rPr>
                                  <w:color w:val="2E74B5" w:themeColor="accent1" w:themeShade="BF"/>
                                  <w:sz w:val="16"/>
                                  <w:szCs w:val="16"/>
                                </w:rPr>
                              </w:pPr>
                              <w:r w:rsidRPr="00AA3AA0">
                                <w:rPr>
                                  <w:b/>
                                  <w:bCs/>
                                  <w:color w:val="2E74B5" w:themeColor="accent1" w:themeShade="BF"/>
                                  <w:sz w:val="16"/>
                                  <w:szCs w:val="16"/>
                                </w:rPr>
                                <w:t>KE1:</w:t>
                              </w:r>
                              <w:r w:rsidRPr="00AA3AA0">
                                <w:rPr>
                                  <w:color w:val="2E74B5" w:themeColor="accent1" w:themeShade="BF"/>
                                  <w:sz w:val="16"/>
                                  <w:szCs w:val="16"/>
                                </w:rPr>
                                <w:t xml:space="preserve"> The ATP pool in cells or tissue sampled can be measured using commercially available ATP bioluminescence assay kits. </w:t>
                              </w:r>
                              <w:bookmarkStart w:id="1" w:name="_Hlk74592048"/>
                              <w:r w:rsidRPr="00AA3AA0">
                                <w:rPr>
                                  <w:color w:val="2E74B5" w:themeColor="accent1" w:themeShade="BF"/>
                                  <w:sz w:val="16"/>
                                  <w:szCs w:val="16"/>
                                </w:rPr>
                                <w:t>Standardized ToxCast high-throughput screening bioassays, such as “NCCT_HEK293T_CellTiterGLO” and “NIS_HEK293T_CTG_Cytotoxicity” can be used to measure this KE.</w:t>
                              </w:r>
                            </w:p>
                            <w:bookmarkEnd w:id="1"/>
                            <w:p w14:paraId="50A80AF5" w14:textId="77777777" w:rsidR="00625700" w:rsidRPr="00AA3AA0" w:rsidRDefault="00625700" w:rsidP="00625700">
                              <w:pPr>
                                <w:pStyle w:val="ListParagraph"/>
                                <w:numPr>
                                  <w:ilvl w:val="0"/>
                                  <w:numId w:val="4"/>
                                </w:numPr>
                                <w:jc w:val="left"/>
                                <w:rPr>
                                  <w:color w:val="2E74B5" w:themeColor="accent1" w:themeShade="BF"/>
                                  <w:sz w:val="16"/>
                                  <w:szCs w:val="16"/>
                                </w:rPr>
                              </w:pPr>
                              <w:r w:rsidRPr="00AA3AA0">
                                <w:rPr>
                                  <w:b/>
                                  <w:bCs/>
                                  <w:color w:val="2E74B5" w:themeColor="accent1" w:themeShade="BF"/>
                                  <w:sz w:val="16"/>
                                  <w:szCs w:val="16"/>
                                </w:rPr>
                                <w:t>KE2:</w:t>
                              </w:r>
                              <w:r w:rsidRPr="00AA3AA0">
                                <w:rPr>
                                  <w:color w:val="2E74B5" w:themeColor="accent1" w:themeShade="BF"/>
                                  <w:sz w:val="16"/>
                                  <w:szCs w:val="16"/>
                                </w:rPr>
                                <w:t xml:space="preserve"> Cell proliferation can be measured using commercially available kits such as 5-bromo-2’-deoxyuridine (BrdU) assay and 5-ethynyl-2´-deoxyuridine (EdU) assays. Standardized ToxCast high-throughput screening bioassays such as “BSK_3C_Proliferation”, “BSK_CASM3C_Proliferation” and “BSK_SAg_Proliferation” can be used to measure this KE.</w:t>
                              </w:r>
                            </w:p>
                            <w:p w14:paraId="4EB4FCDD" w14:textId="13CD0F68" w:rsidR="00625700" w:rsidRPr="00AA3AA0" w:rsidRDefault="00625700" w:rsidP="00AD01FA">
                              <w:pPr>
                                <w:pStyle w:val="ListParagraph"/>
                                <w:numPr>
                                  <w:ilvl w:val="0"/>
                                  <w:numId w:val="4"/>
                                </w:numPr>
                                <w:jc w:val="left"/>
                                <w:rPr>
                                  <w:caps/>
                                  <w:color w:val="5B9BD5" w:themeColor="accent1"/>
                                  <w:sz w:val="16"/>
                                  <w:szCs w:val="16"/>
                                </w:rPr>
                              </w:pPr>
                              <w:r w:rsidRPr="00AA3AA0">
                                <w:rPr>
                                  <w:b/>
                                  <w:bCs/>
                                  <w:color w:val="2E74B5" w:themeColor="accent1" w:themeShade="BF"/>
                                  <w:sz w:val="16"/>
                                  <w:szCs w:val="16"/>
                                </w:rPr>
                                <w:t>AO:</w:t>
                              </w:r>
                              <w:r w:rsidRPr="00AA3AA0">
                                <w:rPr>
                                  <w:color w:val="2E74B5" w:themeColor="accent1" w:themeShade="BF"/>
                                  <w:sz w:val="16"/>
                                  <w:szCs w:val="16"/>
                                </w:rPr>
                                <w:t xml:space="preserve"> Growth can be indicated by measuring the weight and/or length of an organ or a whole organism in animals and plants. For algae, total cell number or total cell volume can be used to indicate growth. </w:t>
                              </w:r>
                              <w:bookmarkStart w:id="2" w:name="_Hlk74591373"/>
                              <w:r w:rsidRPr="00AA3AA0">
                                <w:rPr>
                                  <w:color w:val="2E74B5" w:themeColor="accent1" w:themeShade="BF"/>
                                  <w:sz w:val="16"/>
                                  <w:szCs w:val="16"/>
                                </w:rPr>
                                <w:t>Standardized OECD test guidelines (TGs), such as TG206, 208, 201, 210, 211, 212, ,215, 221, 228 and 241 can be used to measure this AO in different species.</w:t>
                              </w:r>
                              <w:bookmarkEnd w:id="2"/>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BC610C8" id="Group 198" o:spid="_x0000_s1026" style="position:absolute;margin-left:0;margin-top:70.5pt;width:439pt;height:224.5pt;z-index:251659264;mso-wrap-distance-left:14.4pt;mso-wrap-distance-top:3.6pt;mso-wrap-distance-right:14.4pt;mso-wrap-distance-bottom:3.6pt;mso-position-horizontal:left;mso-position-horizontal-relative:margin;mso-position-vertical-relative:margin;mso-width-relative:margin;mso-height-relative:margin" coordsize="35674,2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5b9bd5 [3204]" stroked="f" strokeweight="1pt">
                  <v:textbox>
                    <w:txbxContent>
                      <w:p w14:paraId="3672BB45" w14:textId="77777777" w:rsidR="00625700" w:rsidRPr="00AA3AA0" w:rsidRDefault="00625700" w:rsidP="00625700">
                        <w:pPr>
                          <w:rPr>
                            <w:b/>
                            <w:bCs/>
                            <w:color w:val="2E74B5" w:themeColor="accent1" w:themeShade="BF"/>
                            <w:sz w:val="16"/>
                            <w:szCs w:val="16"/>
                          </w:rPr>
                        </w:pPr>
                        <w:r w:rsidRPr="00AA3AA0">
                          <w:rPr>
                            <w:b/>
                            <w:bCs/>
                            <w:color w:val="2E74B5" w:themeColor="accent1" w:themeShade="BF"/>
                            <w:sz w:val="16"/>
                            <w:szCs w:val="16"/>
                          </w:rPr>
                          <w:t>BOX 2: List of assays associated with the AOP</w:t>
                        </w:r>
                      </w:p>
                      <w:p w14:paraId="55EF0C3A" w14:textId="77777777" w:rsidR="00625700" w:rsidRPr="00AA3AA0" w:rsidRDefault="00625700">
                        <w:pPr>
                          <w:jc w:val="center"/>
                          <w:rPr>
                            <w:rFonts w:asciiTheme="majorHAnsi" w:eastAsiaTheme="majorEastAsia" w:hAnsiTheme="majorHAnsi" w:cstheme="majorBidi"/>
                            <w:color w:val="FFFFFF" w:themeColor="background1"/>
                            <w:sz w:val="16"/>
                            <w:szCs w:val="16"/>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25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" fillcolor="#bdd6ee [1300]" stroked="f" strokeweight=".5pt">
                  <v:textbox inset=",7.2pt,,0">
                    <w:txbxContent>
                      <w:p w14:paraId="438B6777" w14:textId="77777777" w:rsidR="00625700" w:rsidRPr="00AA3AA0" w:rsidRDefault="00625700" w:rsidP="00625700">
                        <w:pPr>
                          <w:pStyle w:val="ListParagraph"/>
                          <w:numPr>
                            <w:ilvl w:val="0"/>
                            <w:numId w:val="4"/>
                          </w:numPr>
                          <w:jc w:val="left"/>
                          <w:rPr>
                            <w:color w:val="2E74B5" w:themeColor="accent1" w:themeShade="BF"/>
                            <w:sz w:val="16"/>
                            <w:szCs w:val="16"/>
                          </w:rPr>
                        </w:pPr>
                        <w:r w:rsidRPr="00AA3AA0">
                          <w:rPr>
                            <w:b/>
                            <w:bCs/>
                            <w:color w:val="2E74B5" w:themeColor="accent1" w:themeShade="BF"/>
                            <w:sz w:val="16"/>
                            <w:szCs w:val="16"/>
                          </w:rPr>
                          <w:t>MIE:</w:t>
                        </w:r>
                        <w:r w:rsidRPr="00AA3AA0">
                          <w:rPr>
                            <w:color w:val="2E74B5" w:themeColor="accent1" w:themeShade="BF"/>
                            <w:sz w:val="16"/>
                            <w:szCs w:val="16"/>
                          </w:rPr>
                          <w:t xml:space="preserve"> Uncoupling of oxidative phosphorylation can be indicated by a decrease in mitochondrial membrane potential, an increase in proton leak, and/or an increase in oxygen consumption rate. Widely accepted high-throughput methods for determination of mitochondrial membrane potential in isolated mitochondria, cells or tissue are mainly based on commercially available fluorescent probes, such as TMRM (</w:t>
                        </w:r>
                        <w:r w:rsidRPr="00AA3AA0">
                          <w:rPr>
                            <w:color w:val="2E74B5" w:themeColor="accent1" w:themeShade="BF"/>
                            <w:sz w:val="16"/>
                            <w:szCs w:val="16"/>
                          </w:rPr>
                          <w:t xml:space="preserve">tetramethylrhodamine methyl ester), TMRE (tetramethylrhodamine ethyl ester) and JC-1. Oxygen consumption rate can be measured using a high-resolution respirometer or equivalent such as a Seahorse XF Analyzer. It is highly recommended to combine different types of measurements to verify if a chemical has uncoupling mode of action. </w:t>
                        </w:r>
                        <w:bookmarkStart w:id="4" w:name="_Hlk74591642"/>
                        <w:r w:rsidRPr="00AA3AA0">
                          <w:rPr>
                            <w:color w:val="2E74B5" w:themeColor="accent1" w:themeShade="BF"/>
                            <w:sz w:val="16"/>
                            <w:szCs w:val="16"/>
                          </w:rPr>
                          <w:t>Standardized ToxCast high-throughput screening bioassays, such as “APR_HepG2_MitoMembPot”, “APR_Hepat_MitoFxnI”, and “APR_Mitochondrial_membrane_potential”, and the Tox21 high-throughput screening assay “tox21-mitotox-p1” can be used to measure this MIE.</w:t>
                        </w:r>
                      </w:p>
                      <w:bookmarkEnd w:id="4"/>
                      <w:p w14:paraId="560D2096" w14:textId="77777777" w:rsidR="00625700" w:rsidRPr="00AA3AA0" w:rsidRDefault="00625700" w:rsidP="00625700">
                        <w:pPr>
                          <w:pStyle w:val="ListParagraph"/>
                          <w:numPr>
                            <w:ilvl w:val="0"/>
                            <w:numId w:val="4"/>
                          </w:numPr>
                          <w:jc w:val="left"/>
                          <w:rPr>
                            <w:color w:val="2E74B5" w:themeColor="accent1" w:themeShade="BF"/>
                            <w:sz w:val="16"/>
                            <w:szCs w:val="16"/>
                          </w:rPr>
                        </w:pPr>
                        <w:r w:rsidRPr="00AA3AA0">
                          <w:rPr>
                            <w:b/>
                            <w:bCs/>
                            <w:color w:val="2E74B5" w:themeColor="accent1" w:themeShade="BF"/>
                            <w:sz w:val="16"/>
                            <w:szCs w:val="16"/>
                          </w:rPr>
                          <w:t>KE1:</w:t>
                        </w:r>
                        <w:r w:rsidRPr="00AA3AA0">
                          <w:rPr>
                            <w:color w:val="2E74B5" w:themeColor="accent1" w:themeShade="BF"/>
                            <w:sz w:val="16"/>
                            <w:szCs w:val="16"/>
                          </w:rPr>
                          <w:t xml:space="preserve"> The ATP pool in cells or tissue sampled can be measured using commercially available ATP bioluminescence assay kits. </w:t>
                        </w:r>
                        <w:bookmarkStart w:id="5" w:name="_Hlk74592048"/>
                        <w:r w:rsidRPr="00AA3AA0">
                          <w:rPr>
                            <w:color w:val="2E74B5" w:themeColor="accent1" w:themeShade="BF"/>
                            <w:sz w:val="16"/>
                            <w:szCs w:val="16"/>
                          </w:rPr>
                          <w:t>Standardized ToxCast high-throughput screening bioassays, such as “NCCT_HEK293T_CellTiterGLO” and “NIS_HEK293T_CTG_Cytotoxicity” can be used to measure this KE.</w:t>
                        </w:r>
                      </w:p>
                      <w:bookmarkEnd w:id="5"/>
                      <w:p w14:paraId="50A80AF5" w14:textId="77777777" w:rsidR="00625700" w:rsidRPr="00AA3AA0" w:rsidRDefault="00625700" w:rsidP="00625700">
                        <w:pPr>
                          <w:pStyle w:val="ListParagraph"/>
                          <w:numPr>
                            <w:ilvl w:val="0"/>
                            <w:numId w:val="4"/>
                          </w:numPr>
                          <w:jc w:val="left"/>
                          <w:rPr>
                            <w:color w:val="2E74B5" w:themeColor="accent1" w:themeShade="BF"/>
                            <w:sz w:val="16"/>
                            <w:szCs w:val="16"/>
                          </w:rPr>
                        </w:pPr>
                        <w:r w:rsidRPr="00AA3AA0">
                          <w:rPr>
                            <w:b/>
                            <w:bCs/>
                            <w:color w:val="2E74B5" w:themeColor="accent1" w:themeShade="BF"/>
                            <w:sz w:val="16"/>
                            <w:szCs w:val="16"/>
                          </w:rPr>
                          <w:t>KE2:</w:t>
                        </w:r>
                        <w:r w:rsidRPr="00AA3AA0">
                          <w:rPr>
                            <w:color w:val="2E74B5" w:themeColor="accent1" w:themeShade="BF"/>
                            <w:sz w:val="16"/>
                            <w:szCs w:val="16"/>
                          </w:rPr>
                          <w:t xml:space="preserve"> Cell proliferation can be measured using commercially available kits such as 5-bromo-2’-deoxyuridine (BrdU) assay and 5-ethynyl-2´-deoxyuridine (EdU) assays. Standardized ToxCast high-throughput screening bioassays such as “BSK_3C_Proliferation”, “BSK_CASM3C_Proliferation” and “BSK_SAg_Proliferation” can be used to measure this KE.</w:t>
                        </w:r>
                      </w:p>
                      <w:p w14:paraId="4EB4FCDD" w14:textId="13CD0F68" w:rsidR="00625700" w:rsidRPr="00AA3AA0" w:rsidRDefault="00625700" w:rsidP="00AD01FA">
                        <w:pPr>
                          <w:pStyle w:val="ListParagraph"/>
                          <w:numPr>
                            <w:ilvl w:val="0"/>
                            <w:numId w:val="4"/>
                          </w:numPr>
                          <w:jc w:val="left"/>
                          <w:rPr>
                            <w:caps/>
                            <w:color w:val="5B9BD5" w:themeColor="accent1"/>
                            <w:sz w:val="16"/>
                            <w:szCs w:val="16"/>
                          </w:rPr>
                        </w:pPr>
                        <w:r w:rsidRPr="00AA3AA0">
                          <w:rPr>
                            <w:b/>
                            <w:bCs/>
                            <w:color w:val="2E74B5" w:themeColor="accent1" w:themeShade="BF"/>
                            <w:sz w:val="16"/>
                            <w:szCs w:val="16"/>
                          </w:rPr>
                          <w:t>AO:</w:t>
                        </w:r>
                        <w:r w:rsidRPr="00AA3AA0">
                          <w:rPr>
                            <w:color w:val="2E74B5" w:themeColor="accent1" w:themeShade="BF"/>
                            <w:sz w:val="16"/>
                            <w:szCs w:val="16"/>
                          </w:rPr>
                          <w:t xml:space="preserve"> Growth can be indicated by measuring the weight and/or length of an organ or a whole organism in animals and plants. For algae, total cell number or total cell volume can be used to indicate growth. </w:t>
                        </w:r>
                        <w:bookmarkStart w:id="6" w:name="_Hlk74591373"/>
                        <w:r w:rsidRPr="00AA3AA0">
                          <w:rPr>
                            <w:color w:val="2E74B5" w:themeColor="accent1" w:themeShade="BF"/>
                            <w:sz w:val="16"/>
                            <w:szCs w:val="16"/>
                          </w:rPr>
                          <w:t>Standardized OECD test guidelines (TGs), such as TG206, 208, 201, 210, 211, 212, ,215, 221, 228 and 241 can be used to measure this AO in different species.</w:t>
                        </w:r>
                        <w:bookmarkEnd w:id="6"/>
                      </w:p>
                    </w:txbxContent>
                  </v:textbox>
                </v:shape>
                <w10:wrap type="square" anchorx="margin" anchory="margin"/>
              </v:group>
            </w:pict>
          </mc:Fallback>
        </mc:AlternateContent>
      </w:r>
      <w:r w:rsidR="00625700">
        <w:rPr>
          <w:color w:val="0070C0"/>
        </w:rPr>
        <w:t>on this.</w:t>
      </w:r>
    </w:p>
    <w:p w14:paraId="7A8474A2" w14:textId="77777777" w:rsidR="000F5EFC" w:rsidRDefault="000F5EFC">
      <w:pPr>
        <w:rPr>
          <w:color w:val="0070C0"/>
        </w:rPr>
      </w:pPr>
    </w:p>
    <w:p w14:paraId="46FA5982" w14:textId="2A4BB804" w:rsidR="00625700" w:rsidRDefault="000F5EFC">
      <w:pPr>
        <w:rPr>
          <w:color w:val="0070C0"/>
        </w:rPr>
      </w:pPr>
      <w:r w:rsidRPr="000F5EFC">
        <w:rPr>
          <w:b/>
          <w:bCs/>
          <w:color w:val="0070C0"/>
          <w:sz w:val="24"/>
          <w:szCs w:val="24"/>
        </w:rPr>
        <w:t>Revisions to the AOPWiki</w:t>
      </w:r>
      <w:r w:rsidR="0033491A">
        <w:rPr>
          <w:b/>
          <w:bCs/>
          <w:color w:val="0070C0"/>
          <w:sz w:val="24"/>
          <w:szCs w:val="24"/>
        </w:rPr>
        <w:t xml:space="preserve"> (revised text underlined)</w:t>
      </w:r>
      <w:r>
        <w:rPr>
          <w:color w:val="0070C0"/>
        </w:rPr>
        <w:t>:</w:t>
      </w:r>
      <w:r w:rsidR="003C501B">
        <w:rPr>
          <w:color w:val="0070C0"/>
        </w:rPr>
        <w:t xml:space="preserve"> </w:t>
      </w:r>
    </w:p>
    <w:p w14:paraId="4FF432D4" w14:textId="77777777" w:rsidR="0033491A" w:rsidRPr="0033491A" w:rsidRDefault="0033491A" w:rsidP="0033491A">
      <w:pPr>
        <w:rPr>
          <w:color w:val="0070C0"/>
        </w:rPr>
      </w:pPr>
      <w:r w:rsidRPr="0033491A">
        <w:rPr>
          <w:color w:val="0070C0"/>
        </w:rPr>
        <w:t>Considerations for Potential Applications of the AOP (optional)</w:t>
      </w:r>
      <w:r w:rsidRPr="0033491A">
        <w:rPr>
          <w:color w:val="0070C0"/>
        </w:rPr>
        <w:tab/>
      </w:r>
    </w:p>
    <w:p w14:paraId="664EDBA9" w14:textId="744E6F99" w:rsidR="0033491A" w:rsidRDefault="0033491A" w:rsidP="0033491A">
      <w:pPr>
        <w:rPr>
          <w:color w:val="0070C0"/>
        </w:rPr>
      </w:pPr>
      <w:r w:rsidRPr="0033491A">
        <w:rPr>
          <w:color w:val="0070C0"/>
        </w:rPr>
        <w:t xml:space="preserve">The present AOP has several potential applications. First, the AOP anchors a recognized endpoint of regulatory concern (i.e., growth), at least in OECD member countries, and is directly relevant for a number of OECD test guidelines (e.g., TG206, 208, 201, 210, 211, 212, ,215, 221, 228 and 241). These guidelines cover a diversity of taxonomic groups including birds, fish, amphibians, terrestrial plants, aquatic plants and algae, and various invertebrates. Second, the AOP anchors an important molecular initiating event (e.g., uncoupling of oxidative phosphorylation) and can be used to support several initiatives (e.g., Tox21 and ToxCast) for identification of mitochondrial toxicants. The present AOP helps establish the utility of such assays for identifying chemicals with potential to cause growth impacts. Third, three out of four key events in this AOP can be measured using high-throughput in vitro assays, hence offering a tiered testing strategy (i.e., in silico→in vitro→in vivo) or integrated approaches to testing and assessment (IATA) for efficient screening, classification and assessment of potential mitochondrial uncouplers and growth-regulating chemicals. </w:t>
      </w:r>
      <w:r w:rsidRPr="009C6E5E">
        <w:rPr>
          <w:b/>
          <w:bCs/>
          <w:color w:val="0070C0"/>
          <w:u w:val="single"/>
        </w:rPr>
        <w:t>The key events can be considered as useful biomarkers in (eco)toxicological studies. However, it is not recommended to use a single key event (e.g., ATP level</w:t>
      </w:r>
      <w:r w:rsidR="00E45AF4">
        <w:rPr>
          <w:b/>
          <w:bCs/>
          <w:color w:val="0070C0"/>
          <w:u w:val="single"/>
        </w:rPr>
        <w:t xml:space="preserve"> alone</w:t>
      </w:r>
      <w:r w:rsidRPr="009C6E5E">
        <w:rPr>
          <w:b/>
          <w:bCs/>
          <w:color w:val="0070C0"/>
          <w:u w:val="single"/>
        </w:rPr>
        <w:t xml:space="preserve">) </w:t>
      </w:r>
      <w:r w:rsidR="009C6E5E">
        <w:rPr>
          <w:b/>
          <w:bCs/>
          <w:color w:val="0070C0"/>
          <w:u w:val="single"/>
        </w:rPr>
        <w:t>as a biomarker</w:t>
      </w:r>
      <w:r w:rsidR="009C6E5E" w:rsidRPr="009C6E5E">
        <w:rPr>
          <w:b/>
          <w:bCs/>
          <w:color w:val="0070C0"/>
          <w:u w:val="single"/>
        </w:rPr>
        <w:t xml:space="preserve"> </w:t>
      </w:r>
      <w:r w:rsidR="00E45AF4">
        <w:rPr>
          <w:b/>
          <w:bCs/>
          <w:color w:val="0070C0"/>
          <w:u w:val="single"/>
        </w:rPr>
        <w:t>for classification and hazard assessment of chemicals</w:t>
      </w:r>
      <w:r w:rsidR="009C6E5E">
        <w:rPr>
          <w:b/>
          <w:bCs/>
          <w:color w:val="0070C0"/>
          <w:u w:val="single"/>
        </w:rPr>
        <w:t>, as key events such as</w:t>
      </w:r>
      <w:r w:rsidR="00E45AF4">
        <w:rPr>
          <w:b/>
          <w:bCs/>
          <w:color w:val="0070C0"/>
          <w:u w:val="single"/>
        </w:rPr>
        <w:t xml:space="preserve"> decreased ATP pool and cell proliferation can also be the consequences of other biological processes</w:t>
      </w:r>
      <w:r w:rsidR="009C6E5E" w:rsidRPr="009C6E5E">
        <w:rPr>
          <w:b/>
          <w:bCs/>
          <w:color w:val="0070C0"/>
          <w:u w:val="single"/>
        </w:rPr>
        <w:t xml:space="preserve">.  </w:t>
      </w:r>
      <w:r w:rsidR="00E45AF4">
        <w:rPr>
          <w:b/>
          <w:bCs/>
          <w:color w:val="0070C0"/>
          <w:u w:val="single"/>
        </w:rPr>
        <w:t xml:space="preserve">A combined measurement </w:t>
      </w:r>
      <w:r w:rsidR="009C6E5E" w:rsidRPr="009C6E5E">
        <w:rPr>
          <w:b/>
          <w:bCs/>
          <w:color w:val="0070C0"/>
          <w:u w:val="single"/>
        </w:rPr>
        <w:t xml:space="preserve">of 2-3 key events </w:t>
      </w:r>
      <w:r w:rsidR="00E45AF4">
        <w:rPr>
          <w:b/>
          <w:bCs/>
          <w:color w:val="0070C0"/>
          <w:u w:val="single"/>
        </w:rPr>
        <w:t>can normally yield more</w:t>
      </w:r>
      <w:r w:rsidR="009C6E5E" w:rsidRPr="009C6E5E">
        <w:rPr>
          <w:b/>
          <w:bCs/>
          <w:color w:val="0070C0"/>
          <w:u w:val="single"/>
        </w:rPr>
        <w:t xml:space="preserve"> reliable results.</w:t>
      </w:r>
      <w:r>
        <w:rPr>
          <w:color w:val="0070C0"/>
        </w:rPr>
        <w:t xml:space="preserve">  </w:t>
      </w:r>
      <w:r w:rsidRPr="0033491A">
        <w:rPr>
          <w:color w:val="0070C0"/>
        </w:rPr>
        <w:t xml:space="preserve">Finally, the quantitative relationships of the key events in this AOP have been relatively well defined, allowing it to be further developed into quantitative prediction models for higher tier assessments. This is a range of potential applications that were conceived during the development of the present AOP. However, it is neither an exhaustive list of potential applications, nor can explicit examples of these applications in practice be cited at this time. </w:t>
      </w:r>
    </w:p>
    <w:p w14:paraId="001C3F4A" w14:textId="56B4B35A" w:rsidR="00021D05" w:rsidRDefault="00021D05" w:rsidP="0033491A">
      <w:pPr>
        <w:rPr>
          <w:color w:val="0070C0"/>
        </w:rPr>
      </w:pPr>
    </w:p>
    <w:p w14:paraId="6D5169BF" w14:textId="0A9703C3" w:rsidR="00021D05" w:rsidRDefault="00021D05" w:rsidP="0033491A">
      <w:pPr>
        <w:rPr>
          <w:color w:val="0070C0"/>
        </w:rPr>
      </w:pPr>
      <w:r>
        <w:rPr>
          <w:color w:val="0070C0"/>
        </w:rPr>
        <w:t>We sincerely hope our responses and revisions are acceptable to Prof. Gant.</w:t>
      </w:r>
    </w:p>
    <w:p w14:paraId="5E77F96C" w14:textId="3BA89D2B" w:rsidR="00021D05" w:rsidRDefault="00021D05" w:rsidP="0033491A">
      <w:pPr>
        <w:rPr>
          <w:color w:val="0070C0"/>
        </w:rPr>
      </w:pPr>
    </w:p>
    <w:p w14:paraId="4EA25AE7" w14:textId="16943486" w:rsidR="00021D05" w:rsidRPr="00B515E2" w:rsidRDefault="00B515E2" w:rsidP="0033491A">
      <w:pPr>
        <w:rPr>
          <w:b/>
          <w:bCs/>
          <w:i/>
          <w:iCs/>
          <w:color w:val="0070C0"/>
          <w:lang w:val="en-US"/>
        </w:rPr>
      </w:pPr>
      <w:r>
        <w:rPr>
          <w:b/>
          <w:bCs/>
          <w:i/>
          <w:iCs/>
          <w:color w:val="0070C0"/>
          <w:lang w:val="en-US"/>
        </w:rPr>
        <w:t>You</w:t>
      </w:r>
      <w:r w:rsidR="00021D05" w:rsidRPr="00B515E2">
        <w:rPr>
          <w:b/>
          <w:bCs/>
          <w:i/>
          <w:iCs/>
          <w:color w:val="0070C0"/>
          <w:lang w:val="en-US"/>
        </w:rPr>
        <w:t xml:space="preserve"> Song and </w:t>
      </w:r>
      <w:r>
        <w:rPr>
          <w:b/>
          <w:bCs/>
          <w:i/>
          <w:iCs/>
          <w:color w:val="0070C0"/>
          <w:lang w:val="en-US"/>
        </w:rPr>
        <w:t>Daniel</w:t>
      </w:r>
      <w:r w:rsidR="00021D05" w:rsidRPr="00B515E2">
        <w:rPr>
          <w:b/>
          <w:bCs/>
          <w:i/>
          <w:iCs/>
          <w:color w:val="0070C0"/>
          <w:lang w:val="en-US"/>
        </w:rPr>
        <w:t xml:space="preserve"> Villeneuve</w:t>
      </w:r>
    </w:p>
    <w:p w14:paraId="32210C03" w14:textId="03B5F3DD" w:rsidR="00021D05" w:rsidRPr="00AA3AA0" w:rsidRDefault="00021D05" w:rsidP="0033491A">
      <w:pPr>
        <w:rPr>
          <w:b/>
          <w:bCs/>
          <w:i/>
          <w:iCs/>
          <w:color w:val="0070C0"/>
          <w:lang w:val="en-US"/>
        </w:rPr>
      </w:pPr>
      <w:r w:rsidRPr="00AA3AA0">
        <w:rPr>
          <w:b/>
          <w:bCs/>
          <w:i/>
          <w:iCs/>
          <w:color w:val="0070C0"/>
          <w:lang w:val="en-US"/>
        </w:rPr>
        <w:t>27.10.2021</w:t>
      </w:r>
    </w:p>
    <w:p w14:paraId="2F97E8BB" w14:textId="04CF047C" w:rsidR="00625700" w:rsidRDefault="00AF1178" w:rsidP="00625700">
      <w:pPr>
        <w:rPr>
          <w:color w:val="0070C0"/>
          <w:lang w:val="en-US"/>
        </w:rPr>
      </w:pPr>
      <w:r w:rsidRPr="00AA3AA0">
        <w:rPr>
          <w:color w:val="0070C0"/>
          <w:lang w:val="en-US"/>
        </w:rPr>
        <w:t xml:space="preserve">  </w:t>
      </w:r>
      <w:bookmarkStart w:id="3" w:name="_Hlk86233856"/>
      <w:bookmarkStart w:id="4" w:name="_GoBack"/>
      <w:bookmarkEnd w:id="4"/>
    </w:p>
    <w:p w14:paraId="14EBCE82" w14:textId="47251E2E" w:rsidR="008360A9" w:rsidRDefault="008360A9" w:rsidP="00625700">
      <w:pPr>
        <w:rPr>
          <w:color w:val="0070C0"/>
          <w:lang w:val="en-US"/>
        </w:rPr>
      </w:pPr>
    </w:p>
    <w:p w14:paraId="7603B33C" w14:textId="77777777" w:rsidR="008360A9" w:rsidRPr="00AA3AA0" w:rsidRDefault="008360A9" w:rsidP="00625700">
      <w:pPr>
        <w:rPr>
          <w:b/>
          <w:bCs/>
          <w:color w:val="2E74B5" w:themeColor="accent1" w:themeShade="BF"/>
          <w:lang w:val="en-US"/>
        </w:rPr>
      </w:pPr>
    </w:p>
    <w:p w14:paraId="71C8223A" w14:textId="1A281AAB" w:rsidR="00625700" w:rsidRPr="008360A9" w:rsidRDefault="008360A9" w:rsidP="00625700">
      <w:pPr>
        <w:rPr>
          <w:color w:val="2E74B5" w:themeColor="accent1" w:themeShade="BF"/>
          <w:shd w:val="pct15" w:color="auto" w:fill="FFFFFF"/>
          <w:lang w:val="en-US"/>
        </w:rPr>
      </w:pPr>
      <w:r w:rsidRPr="008360A9">
        <w:rPr>
          <w:b/>
          <w:shd w:val="pct15" w:color="auto" w:fill="FFFFFF"/>
          <w:lang w:val="en-US"/>
        </w:rPr>
        <w:t xml:space="preserve">Response from Tim Gant on 28 October 2021: </w:t>
      </w:r>
      <w:r>
        <w:t>Thanks to the authors for considering the comments. I am content with the responses and endorse the changes made</w:t>
      </w:r>
      <w:r>
        <w:t>.</w:t>
      </w:r>
    </w:p>
    <w:bookmarkEnd w:id="3"/>
    <w:p w14:paraId="664B8409" w14:textId="6BF7E2DB" w:rsidR="001037B6" w:rsidRPr="00AA3AA0" w:rsidRDefault="001037B6">
      <w:pPr>
        <w:rPr>
          <w:color w:val="0070C0"/>
          <w:lang w:val="en-US"/>
        </w:rPr>
      </w:pPr>
    </w:p>
    <w:sectPr w:rsidR="001037B6" w:rsidRPr="00AA3A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19BB8" w14:textId="77777777" w:rsidR="00377A0A" w:rsidRDefault="00377A0A" w:rsidP="00021D05">
      <w:pPr>
        <w:spacing w:after="0" w:line="240" w:lineRule="auto"/>
      </w:pPr>
      <w:r>
        <w:separator/>
      </w:r>
    </w:p>
  </w:endnote>
  <w:endnote w:type="continuationSeparator" w:id="0">
    <w:p w14:paraId="232E5EEA" w14:textId="77777777" w:rsidR="00377A0A" w:rsidRDefault="00377A0A" w:rsidP="0002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06915"/>
      <w:docPartObj>
        <w:docPartGallery w:val="Page Numbers (Bottom of Page)"/>
        <w:docPartUnique/>
      </w:docPartObj>
    </w:sdtPr>
    <w:sdtEndPr/>
    <w:sdtContent>
      <w:p w14:paraId="7D339399" w14:textId="64D8426C" w:rsidR="00021D05" w:rsidRDefault="00021D05">
        <w:pPr>
          <w:pStyle w:val="Footer"/>
          <w:jc w:val="right"/>
        </w:pPr>
        <w:r>
          <w:fldChar w:fldCharType="begin"/>
        </w:r>
        <w:r>
          <w:instrText>PAGE   \* MERGEFORMAT</w:instrText>
        </w:r>
        <w:r>
          <w:fldChar w:fldCharType="separate"/>
        </w:r>
        <w:r w:rsidR="008360A9" w:rsidRPr="008360A9">
          <w:rPr>
            <w:noProof/>
            <w:lang w:val="nb-NO"/>
          </w:rPr>
          <w:t>1</w:t>
        </w:r>
        <w:r>
          <w:fldChar w:fldCharType="end"/>
        </w:r>
      </w:p>
    </w:sdtContent>
  </w:sdt>
  <w:p w14:paraId="0844EF84" w14:textId="77777777" w:rsidR="00021D05" w:rsidRDefault="0002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EF75E" w14:textId="77777777" w:rsidR="00377A0A" w:rsidRDefault="00377A0A" w:rsidP="00021D05">
      <w:pPr>
        <w:spacing w:after="0" w:line="240" w:lineRule="auto"/>
      </w:pPr>
      <w:r>
        <w:separator/>
      </w:r>
    </w:p>
  </w:footnote>
  <w:footnote w:type="continuationSeparator" w:id="0">
    <w:p w14:paraId="091B913E" w14:textId="77777777" w:rsidR="00377A0A" w:rsidRDefault="00377A0A" w:rsidP="00021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09B5"/>
    <w:multiLevelType w:val="hybridMultilevel"/>
    <w:tmpl w:val="480EC794"/>
    <w:lvl w:ilvl="0" w:tplc="1390D64C">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E74A7"/>
    <w:multiLevelType w:val="multilevel"/>
    <w:tmpl w:val="F586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F28B0"/>
    <w:multiLevelType w:val="multilevel"/>
    <w:tmpl w:val="3754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6F38D5"/>
    <w:multiLevelType w:val="multilevel"/>
    <w:tmpl w:val="F7B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B6"/>
    <w:rsid w:val="00014DE2"/>
    <w:rsid w:val="00021D05"/>
    <w:rsid w:val="000D3C04"/>
    <w:rsid w:val="000F5EFC"/>
    <w:rsid w:val="001016B0"/>
    <w:rsid w:val="001037B6"/>
    <w:rsid w:val="00114FF5"/>
    <w:rsid w:val="002114E3"/>
    <w:rsid w:val="0033491A"/>
    <w:rsid w:val="00377A0A"/>
    <w:rsid w:val="003C501B"/>
    <w:rsid w:val="0055086C"/>
    <w:rsid w:val="00625700"/>
    <w:rsid w:val="00786290"/>
    <w:rsid w:val="008360A9"/>
    <w:rsid w:val="0097353C"/>
    <w:rsid w:val="009C6E5E"/>
    <w:rsid w:val="00A86B04"/>
    <w:rsid w:val="00AA3AA0"/>
    <w:rsid w:val="00AF1178"/>
    <w:rsid w:val="00B515E2"/>
    <w:rsid w:val="00C17833"/>
    <w:rsid w:val="00C54E65"/>
    <w:rsid w:val="00C82744"/>
    <w:rsid w:val="00CA1CCE"/>
    <w:rsid w:val="00CF5681"/>
    <w:rsid w:val="00DC1383"/>
    <w:rsid w:val="00E45AF4"/>
    <w:rsid w:val="00EF41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F6FA"/>
  <w15:chartTrackingRefBased/>
  <w15:docId w15:val="{C074C489-7C8B-4EF8-B460-A6FCF2FD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1383"/>
    <w:pPr>
      <w:spacing w:before="100" w:beforeAutospacing="1" w:after="100" w:afterAutospacing="1" w:line="240" w:lineRule="auto"/>
    </w:pPr>
    <w:rPr>
      <w:rFonts w:ascii="Times New Roman" w:eastAsia="Times New Roman" w:hAnsi="Times New Roman" w:cs="Times New Roman"/>
      <w:sz w:val="24"/>
      <w:szCs w:val="24"/>
      <w:lang w:val="nb-NO" w:eastAsia="zh-CN"/>
    </w:rPr>
  </w:style>
  <w:style w:type="character" w:styleId="Strong">
    <w:name w:val="Strong"/>
    <w:basedOn w:val="DefaultParagraphFont"/>
    <w:uiPriority w:val="22"/>
    <w:qFormat/>
    <w:rsid w:val="00DC1383"/>
    <w:rPr>
      <w:b/>
      <w:bCs/>
    </w:rPr>
  </w:style>
  <w:style w:type="character" w:styleId="Hyperlink">
    <w:name w:val="Hyperlink"/>
    <w:basedOn w:val="DefaultParagraphFont"/>
    <w:uiPriority w:val="99"/>
    <w:unhideWhenUsed/>
    <w:rsid w:val="0097353C"/>
    <w:rPr>
      <w:color w:val="0563C1" w:themeColor="hyperlink"/>
      <w:u w:val="single"/>
    </w:rPr>
  </w:style>
  <w:style w:type="character" w:customStyle="1" w:styleId="UnresolvedMention">
    <w:name w:val="Unresolved Mention"/>
    <w:basedOn w:val="DefaultParagraphFont"/>
    <w:uiPriority w:val="99"/>
    <w:semiHidden/>
    <w:unhideWhenUsed/>
    <w:rsid w:val="0097353C"/>
    <w:rPr>
      <w:color w:val="605E5C"/>
      <w:shd w:val="clear" w:color="auto" w:fill="E1DFDD"/>
    </w:rPr>
  </w:style>
  <w:style w:type="paragraph" w:styleId="ListParagraph">
    <w:name w:val="List Paragraph"/>
    <w:basedOn w:val="Normal"/>
    <w:uiPriority w:val="34"/>
    <w:qFormat/>
    <w:rsid w:val="00625700"/>
    <w:pPr>
      <w:spacing w:after="0" w:line="240" w:lineRule="auto"/>
      <w:ind w:left="720"/>
      <w:contextualSpacing/>
      <w:jc w:val="both"/>
    </w:pPr>
    <w:rPr>
      <w:rFonts w:eastAsia="SimSun"/>
      <w:lang w:val="en-US"/>
    </w:rPr>
  </w:style>
  <w:style w:type="table" w:styleId="TableGrid">
    <w:name w:val="Table Grid"/>
    <w:basedOn w:val="TableNormal"/>
    <w:uiPriority w:val="39"/>
    <w:rsid w:val="00625700"/>
    <w:pPr>
      <w:spacing w:after="0" w:line="240" w:lineRule="auto"/>
      <w:jc w:val="both"/>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2570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25700"/>
    <w:rPr>
      <w:rFonts w:eastAsiaTheme="minorEastAsia"/>
      <w:lang w:val="en-US"/>
    </w:rPr>
  </w:style>
  <w:style w:type="paragraph" w:styleId="Header">
    <w:name w:val="header"/>
    <w:basedOn w:val="Normal"/>
    <w:link w:val="HeaderChar"/>
    <w:uiPriority w:val="99"/>
    <w:unhideWhenUsed/>
    <w:rsid w:val="00021D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1D05"/>
  </w:style>
  <w:style w:type="paragraph" w:styleId="Footer">
    <w:name w:val="footer"/>
    <w:basedOn w:val="Normal"/>
    <w:link w:val="FooterChar"/>
    <w:uiPriority w:val="99"/>
    <w:unhideWhenUsed/>
    <w:rsid w:val="00021D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1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507508">
      <w:bodyDiv w:val="1"/>
      <w:marLeft w:val="0"/>
      <w:marRight w:val="0"/>
      <w:marTop w:val="0"/>
      <w:marBottom w:val="0"/>
      <w:divBdr>
        <w:top w:val="none" w:sz="0" w:space="0" w:color="auto"/>
        <w:left w:val="none" w:sz="0" w:space="0" w:color="auto"/>
        <w:bottom w:val="none" w:sz="0" w:space="0" w:color="auto"/>
        <w:right w:val="none" w:sz="0" w:space="0" w:color="auto"/>
      </w:divBdr>
    </w:div>
    <w:div w:id="110326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opwiki.org/aops/2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DELRUE Nathalie, ENV/EHS</dc:creator>
  <cp:keywords/>
  <dc:description/>
  <cp:lastModifiedBy>DELRUE Nathalie, ENV/EHS</cp:lastModifiedBy>
  <cp:revision>2</cp:revision>
  <dcterms:created xsi:type="dcterms:W3CDTF">2021-10-28T15:11:00Z</dcterms:created>
  <dcterms:modified xsi:type="dcterms:W3CDTF">2021-10-28T15:11:00Z</dcterms:modified>
</cp:coreProperties>
</file>